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93" w:rsidRPr="00097C93" w:rsidRDefault="00AD5093" w:rsidP="00AD5093">
      <w:pPr>
        <w:spacing w:beforeAutospacing="1" w:afterAutospacing="1" w:line="240" w:lineRule="auto"/>
      </w:pPr>
      <w:r>
        <w:rPr>
          <w:b/>
          <w:sz w:val="25"/>
          <w:szCs w:val="25"/>
        </w:rPr>
        <w:t>Studentům při výběru studia v zahraničí pomůže inte</w:t>
      </w:r>
      <w:r w:rsidR="00AE75BF">
        <w:rPr>
          <w:b/>
          <w:sz w:val="25"/>
          <w:szCs w:val="25"/>
        </w:rPr>
        <w:t>raktivní mapa, kterou vytvořila</w:t>
      </w:r>
      <w:r>
        <w:rPr>
          <w:b/>
          <w:sz w:val="25"/>
          <w:szCs w:val="25"/>
        </w:rPr>
        <w:t xml:space="preserve"> přírodovědecká fakulta</w:t>
      </w:r>
      <w:r w:rsidRPr="00AD50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21CB0" w:rsidRPr="00AD5093" w:rsidRDefault="00D21CB0" w:rsidP="007B2B0C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b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AD5093">
        <w:rPr>
          <w:szCs w:val="20"/>
        </w:rPr>
        <w:t>11. února 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Pr="005A4E59">
        <w:rPr>
          <w:i/>
          <w:szCs w:val="20"/>
        </w:rPr>
        <w:t xml:space="preserve"> </w:t>
      </w:r>
      <w:r w:rsidR="00AD5093" w:rsidRPr="00AD5093">
        <w:rPr>
          <w:rFonts w:cs="Arial"/>
          <w:b/>
          <w:szCs w:val="20"/>
        </w:rPr>
        <w:t>Novou interaktivní mapovou aplikaci pro studenty, kteří chtějí vycestovat do zahraničí v rám</w:t>
      </w:r>
      <w:r w:rsidR="00FB2915">
        <w:rPr>
          <w:rFonts w:cs="Arial"/>
          <w:b/>
          <w:szCs w:val="20"/>
        </w:rPr>
        <w:t>ci programu Erasmus+, vytvořila</w:t>
      </w:r>
      <w:r w:rsidR="00AD5093" w:rsidRPr="00AD5093">
        <w:rPr>
          <w:rFonts w:cs="Arial"/>
          <w:b/>
          <w:szCs w:val="20"/>
        </w:rPr>
        <w:t xml:space="preserve"> přírodovědecká fakulta. Aplikace usnadňuje vyhledávání základních informací o zahraničních partnerských univerzitách přírodovědecké fakulty. Studenti například snadno zjistí, která katedra garantuje smlouvu, jaké stipendium účastník obdrží nebo kolik studentů může ročně smlouvu využít</w:t>
      </w:r>
      <w:r w:rsidRPr="00AD5093">
        <w:rPr>
          <w:b/>
          <w:szCs w:val="20"/>
        </w:rPr>
        <w:t>.</w:t>
      </w:r>
    </w:p>
    <w:p w:rsidR="00AD5093" w:rsidRPr="00097C93" w:rsidRDefault="00AD5093" w:rsidP="00AD5093">
      <w:pPr>
        <w:spacing w:beforeAutospacing="1" w:afterAutospacing="1" w:line="240" w:lineRule="auto"/>
      </w:pPr>
      <w:r w:rsidRPr="00097C93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Pr="00AD5093">
        <w:rPr>
          <w:rFonts w:ascii="Arial" w:eastAsia="Times New Roman" w:hAnsi="Arial" w:cs="Arial"/>
          <w:i/>
          <w:sz w:val="20"/>
          <w:szCs w:val="20"/>
          <w:lang w:eastAsia="cs-CZ"/>
        </w:rPr>
        <w:t>Na katedře geografie se snažíme různými způsoby podporovat a motivovat studenty, aby se nebáli využít příležitosti vycestovat do zahraničí. Na základě zpětné vazby od studentů, kteří již mají zkušenost se zahraniční mobilitou, víme, že nejzásadnější je překonat strach z neznámého a vyjet. V podstatě všichni se pak vrací se skvělými zážitky a cennými zkušenostmi,</w:t>
      </w:r>
      <w:r w:rsidRPr="00097C93">
        <w:rPr>
          <w:rFonts w:ascii="Arial" w:eastAsia="Times New Roman" w:hAnsi="Arial" w:cs="Arial"/>
          <w:sz w:val="20"/>
          <w:szCs w:val="20"/>
          <w:lang w:eastAsia="cs-CZ"/>
        </w:rPr>
        <w:t>“ uvedl Petr Šimáček, spoluautor mapy a koordinátor zahraničních mobilit na katedře geografie.</w:t>
      </w:r>
    </w:p>
    <w:p w:rsidR="00AD5093" w:rsidRPr="00097C93" w:rsidRDefault="00AD5093" w:rsidP="00AD5093">
      <w:pPr>
        <w:spacing w:beforeAutospacing="1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97C93">
        <w:rPr>
          <w:rFonts w:ascii="Arial" w:eastAsia="Times New Roman" w:hAnsi="Arial" w:cs="Arial"/>
          <w:sz w:val="20"/>
          <w:szCs w:val="20"/>
          <w:lang w:eastAsia="cs-CZ"/>
        </w:rPr>
        <w:t>Zahraniční partnerské instituce jsou v mapové aplikaci rozděleny do vrstev podle oborové příslušnosti a podle jednotlivých využívaných mobilit. „</w:t>
      </w:r>
      <w:r w:rsidRPr="00AD5093">
        <w:rPr>
          <w:rFonts w:ascii="Arial" w:eastAsia="Times New Roman" w:hAnsi="Arial" w:cs="Arial"/>
          <w:i/>
          <w:sz w:val="20"/>
          <w:szCs w:val="20"/>
          <w:lang w:eastAsia="cs-CZ"/>
        </w:rPr>
        <w:t>Přímo v mapě může uživatel několika kliknutími jednoduše zjistit základní informace o zahraničních partnerských univerzitách, najít odkazy na web konkrétních univerzit, informace o městě či předchozí zkušenosti studentů, kteří už na daném místě svůj pobyt realizovali. Doufám, že mapa otevře dveře dalším zájemcům o zahraniční pobyt</w:t>
      </w:r>
      <w:r w:rsidRPr="00097C93">
        <w:rPr>
          <w:rFonts w:ascii="Arial" w:eastAsia="Times New Roman" w:hAnsi="Arial" w:cs="Arial"/>
          <w:sz w:val="20"/>
          <w:szCs w:val="20"/>
          <w:lang w:eastAsia="cs-CZ"/>
        </w:rPr>
        <w:t xml:space="preserve">,“ dodal Petr Šimáček. </w:t>
      </w:r>
    </w:p>
    <w:p w:rsidR="00AD5093" w:rsidRPr="00097C93" w:rsidRDefault="00AD5093" w:rsidP="00AD5093">
      <w:pPr>
        <w:pStyle w:val="Bezmezer"/>
      </w:pPr>
      <w:r w:rsidRPr="00097C93">
        <w:rPr>
          <w:rFonts w:ascii="Arial" w:eastAsia="Times New Roman" w:hAnsi="Arial" w:cs="Arial"/>
          <w:sz w:val="20"/>
          <w:szCs w:val="20"/>
          <w:lang w:eastAsia="cs-CZ"/>
        </w:rPr>
        <w:t>Své jazykové znalosti získané při pobytu v zahraničí mohou studenti využít následně i ve své profesní dráze. Zaměstnavatelé požadují znalost minimálně jednoho světového jazyka. „</w:t>
      </w:r>
      <w:r w:rsidRPr="00AD5093">
        <w:rPr>
          <w:rFonts w:ascii="Arial" w:hAnsi="Arial" w:cs="Arial"/>
          <w:i/>
          <w:sz w:val="20"/>
          <w:szCs w:val="20"/>
        </w:rPr>
        <w:t>Mnohé výzkumy i ohlasy z praxe potvrzu</w:t>
      </w:r>
      <w:r w:rsidR="00C106BF">
        <w:rPr>
          <w:rFonts w:ascii="Arial" w:hAnsi="Arial" w:cs="Arial"/>
          <w:i/>
          <w:sz w:val="20"/>
          <w:szCs w:val="20"/>
        </w:rPr>
        <w:t>jí</w:t>
      </w:r>
      <w:r w:rsidR="00A45E93">
        <w:rPr>
          <w:rFonts w:ascii="Arial" w:hAnsi="Arial" w:cs="Arial"/>
          <w:i/>
          <w:sz w:val="20"/>
          <w:szCs w:val="20"/>
        </w:rPr>
        <w:t>, že v současné době snad není</w:t>
      </w:r>
      <w:bookmarkStart w:id="0" w:name="_GoBack"/>
      <w:bookmarkEnd w:id="0"/>
      <w:r w:rsidRPr="00AD5093">
        <w:rPr>
          <w:rFonts w:ascii="Arial" w:hAnsi="Arial" w:cs="Arial"/>
          <w:i/>
          <w:sz w:val="20"/>
          <w:szCs w:val="20"/>
        </w:rPr>
        <w:t xml:space="preserve"> lepší reference pro zaměstnavatele než zahraniční studium. Pobytem v zahraničí získáte potřebnou sebedůvěru a rozhodnost, která je důležitá pro váš budoucí život, zaměstnání, kariéru. Studium v zahraničí stává nutným standardem úspěšného absolventa</w:t>
      </w:r>
      <w:r w:rsidRPr="00097C93">
        <w:rPr>
          <w:rFonts w:ascii="Arial" w:hAnsi="Arial" w:cs="Arial"/>
          <w:sz w:val="20"/>
          <w:szCs w:val="20"/>
        </w:rPr>
        <w:t xml:space="preserve">,“ potvrzuje referentka pro zahraniční záležitosti studentů Dana </w:t>
      </w:r>
      <w:proofErr w:type="spellStart"/>
      <w:r w:rsidRPr="00097C93">
        <w:rPr>
          <w:rFonts w:ascii="Arial" w:hAnsi="Arial" w:cs="Arial"/>
          <w:sz w:val="20"/>
          <w:szCs w:val="20"/>
        </w:rPr>
        <w:t>Gronychová</w:t>
      </w:r>
      <w:proofErr w:type="spellEnd"/>
      <w:r w:rsidRPr="00097C93">
        <w:rPr>
          <w:rFonts w:ascii="Arial" w:hAnsi="Arial" w:cs="Arial"/>
          <w:sz w:val="20"/>
          <w:szCs w:val="20"/>
        </w:rPr>
        <w:t xml:space="preserve">. </w:t>
      </w:r>
    </w:p>
    <w:p w:rsidR="00AD5093" w:rsidRPr="00097C93" w:rsidRDefault="00AD5093" w:rsidP="00AD5093">
      <w:pPr>
        <w:spacing w:beforeAutospacing="1" w:afterAutospacing="1" w:line="240" w:lineRule="auto"/>
      </w:pPr>
      <w:r w:rsidRPr="00097C93">
        <w:rPr>
          <w:rFonts w:ascii="Arial" w:eastAsia="Times New Roman" w:hAnsi="Arial" w:cs="Arial"/>
          <w:sz w:val="20"/>
          <w:szCs w:val="20"/>
          <w:lang w:eastAsia="cs-CZ"/>
        </w:rPr>
        <w:t>Univerzita Palackého má uzavřeny desítky smluv zprostředkovávajících studentské mobility s univerzitními institucemi po celém světě, přičemž další smlouvy každým rokem přibývají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097C93">
        <w:rPr>
          <w:rFonts w:ascii="Arial" w:eastAsia="Times New Roman" w:hAnsi="Arial" w:cs="Arial"/>
          <w:sz w:val="20"/>
          <w:szCs w:val="20"/>
          <w:lang w:eastAsia="cs-CZ"/>
        </w:rPr>
        <w:t xml:space="preserve"> Do budoucna se počítá nejen s pravidelnou aktualizací interaktivní mapy, ale také s rozšířením o smlouvy uzavřené v rámci jiných využívaných programů mobilit, jako je například CEEPUS.</w:t>
      </w:r>
    </w:p>
    <w:p w:rsidR="00D21CB0" w:rsidRDefault="00D21CB0" w:rsidP="007B2B0C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C0D" w:rsidRPr="00A9725F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291302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5093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AD5093">
        <w:rPr>
          <w:rFonts w:ascii="Arial" w:eastAsia="Times New Roman" w:hAnsi="Arial" w:cs="Arial"/>
          <w:sz w:val="20"/>
          <w:szCs w:val="20"/>
          <w:lang w:eastAsia="cs-CZ"/>
        </w:rPr>
        <w:t xml:space="preserve"> redaktor</w:t>
      </w:r>
      <w:r w:rsidR="003840E3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AD5093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|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E: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840E3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sarka.chovancova@upol.cz</w:t>
      </w:r>
      <w:r>
        <w:rPr>
          <w:rStyle w:val="Hypertextovodkaz"/>
          <w:rFonts w:ascii="Arial" w:hAnsi="Arial" w:cs="Arial"/>
          <w:sz w:val="20"/>
          <w:szCs w:val="20"/>
          <w:u w:val="none"/>
        </w:rPr>
        <w:t xml:space="preserve"> | </w:t>
      </w:r>
      <w:r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840E3">
        <w:rPr>
          <w:rFonts w:ascii="Arial" w:eastAsia="Times New Roman" w:hAnsi="Arial" w:cs="Arial"/>
          <w:sz w:val="20"/>
          <w:szCs w:val="20"/>
          <w:lang w:eastAsia="cs-CZ"/>
        </w:rPr>
        <w:t>776 09 55 47</w:t>
      </w:r>
    </w:p>
    <w:sectPr w:rsidR="00702C0D" w:rsidRPr="00A9725F" w:rsidSect="004B1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32" w:rsidRDefault="00BF7532" w:rsidP="00F15613">
      <w:pPr>
        <w:spacing w:line="240" w:lineRule="auto"/>
      </w:pPr>
      <w:r>
        <w:separator/>
      </w:r>
    </w:p>
  </w:endnote>
  <w:endnote w:type="continuationSeparator" w:id="0">
    <w:p w:rsidR="00BF7532" w:rsidRDefault="00BF753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32" w:rsidRDefault="00BF7532" w:rsidP="00F15613">
      <w:pPr>
        <w:spacing w:line="240" w:lineRule="auto"/>
      </w:pPr>
      <w:r>
        <w:separator/>
      </w:r>
    </w:p>
  </w:footnote>
  <w:footnote w:type="continuationSeparator" w:id="0">
    <w:p w:rsidR="00BF7532" w:rsidRDefault="00BF753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93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91302"/>
    <w:rsid w:val="002E3612"/>
    <w:rsid w:val="00334EEB"/>
    <w:rsid w:val="0036478A"/>
    <w:rsid w:val="00377FF3"/>
    <w:rsid w:val="003840E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2C0B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45E93"/>
    <w:rsid w:val="00A5561A"/>
    <w:rsid w:val="00A64191"/>
    <w:rsid w:val="00A94093"/>
    <w:rsid w:val="00A9725F"/>
    <w:rsid w:val="00AA72E7"/>
    <w:rsid w:val="00AB33EA"/>
    <w:rsid w:val="00AC100C"/>
    <w:rsid w:val="00AD5093"/>
    <w:rsid w:val="00AE75BF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BF7532"/>
    <w:rsid w:val="00C03A61"/>
    <w:rsid w:val="00C106BF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915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D2426"/>
  <w15:docId w15:val="{82A16F1F-788B-4B87-9857-F061ED0F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D50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2592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2019-02-08T06:59:00Z</dcterms:created>
  <dcterms:modified xsi:type="dcterms:W3CDTF">2019-02-08T06:59:00Z</dcterms:modified>
</cp:coreProperties>
</file>