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24C" w:rsidRPr="0070626D" w:rsidRDefault="0070626D" w:rsidP="0070626D">
      <w:pPr>
        <w:pStyle w:val="Standard"/>
        <w:spacing w:before="120" w:after="120" w:line="264" w:lineRule="auto"/>
        <w:rPr>
          <w:rFonts w:ascii="Arial" w:hAnsi="Arial" w:cs="Arial"/>
          <w:b/>
          <w:bCs/>
          <w:sz w:val="25"/>
          <w:szCs w:val="25"/>
        </w:rPr>
      </w:pPr>
      <w:bookmarkStart w:id="0" w:name="_GoBack"/>
      <w:r>
        <w:rPr>
          <w:rFonts w:ascii="Arial" w:hAnsi="Arial" w:cs="Arial"/>
          <w:b/>
          <w:sz w:val="25"/>
          <w:szCs w:val="25"/>
        </w:rPr>
        <w:t>Olomoučtí přírodovědci</w:t>
      </w:r>
      <w:r w:rsidR="0043182A" w:rsidRPr="0070626D">
        <w:rPr>
          <w:rFonts w:ascii="Arial" w:hAnsi="Arial" w:cs="Arial"/>
          <w:b/>
          <w:sz w:val="25"/>
          <w:szCs w:val="25"/>
        </w:rPr>
        <w:t xml:space="preserve"> se podíleli na objevu látek, které mohou výrazně zlepšit léčbu zánětlivých střevních onemocnění</w:t>
      </w:r>
    </w:p>
    <w:bookmarkEnd w:id="0"/>
    <w:p w:rsidR="00A2224C" w:rsidRPr="0070626D" w:rsidRDefault="00D21CB0" w:rsidP="0070626D">
      <w:pPr>
        <w:pStyle w:val="Standard"/>
        <w:spacing w:before="120" w:after="120" w:line="264" w:lineRule="auto"/>
        <w:rPr>
          <w:rFonts w:ascii="Arial" w:hAnsi="Arial" w:cs="Arial"/>
          <w:b/>
          <w:bCs/>
          <w:sz w:val="20"/>
          <w:szCs w:val="20"/>
        </w:rPr>
      </w:pPr>
      <w:r w:rsidRPr="0070626D">
        <w:rPr>
          <w:rFonts w:ascii="Arial" w:hAnsi="Arial" w:cs="Arial"/>
          <w:sz w:val="20"/>
          <w:szCs w:val="20"/>
        </w:rPr>
        <w:t>Olomouc (</w:t>
      </w:r>
      <w:r w:rsidR="00A2224C" w:rsidRPr="0070626D">
        <w:rPr>
          <w:rFonts w:ascii="Arial" w:hAnsi="Arial" w:cs="Arial"/>
          <w:sz w:val="20"/>
          <w:szCs w:val="20"/>
        </w:rPr>
        <w:t>1</w:t>
      </w:r>
      <w:r w:rsidR="0043182A" w:rsidRPr="0070626D">
        <w:rPr>
          <w:rFonts w:ascii="Arial" w:hAnsi="Arial" w:cs="Arial"/>
          <w:sz w:val="20"/>
          <w:szCs w:val="20"/>
        </w:rPr>
        <w:t>4</w:t>
      </w:r>
      <w:r w:rsidR="00A2224C" w:rsidRPr="0070626D">
        <w:rPr>
          <w:rFonts w:ascii="Arial" w:hAnsi="Arial" w:cs="Arial"/>
          <w:sz w:val="20"/>
          <w:szCs w:val="20"/>
        </w:rPr>
        <w:t>. dubna 2020</w:t>
      </w:r>
      <w:r w:rsidRPr="0070626D">
        <w:rPr>
          <w:rFonts w:ascii="Arial" w:hAnsi="Arial" w:cs="Arial"/>
          <w:sz w:val="20"/>
          <w:szCs w:val="20"/>
        </w:rPr>
        <w:t xml:space="preserve">) </w:t>
      </w:r>
      <w:r w:rsidRPr="0070626D">
        <w:rPr>
          <w:rFonts w:ascii="Arial" w:hAnsi="Arial" w:cs="Arial"/>
          <w:i/>
          <w:sz w:val="20"/>
          <w:szCs w:val="20"/>
        </w:rPr>
        <w:t>–</w:t>
      </w:r>
      <w:r w:rsidR="0043182A" w:rsidRPr="0070626D">
        <w:rPr>
          <w:rFonts w:ascii="Arial" w:hAnsi="Arial" w:cs="Arial"/>
          <w:b/>
          <w:sz w:val="20"/>
          <w:szCs w:val="20"/>
        </w:rPr>
        <w:t xml:space="preserve"> Při účinné léčbě zánětlivých střevních onemocnění, jako je Crohnova choroba či ulcerózní kolitida, by mohly být v budoucnu využity výsledky mezinárodní studie zaměřené na speciální receptor uvnitř buněk, na které se významně podíleli odborníci z katedry buněčné biologie a genetiky Přírodovědecké fakulty Univerzity Palackého</w:t>
      </w:r>
      <w:r w:rsidR="0070626D">
        <w:rPr>
          <w:rFonts w:ascii="Arial" w:hAnsi="Arial" w:cs="Arial"/>
          <w:b/>
          <w:sz w:val="20"/>
          <w:szCs w:val="20"/>
        </w:rPr>
        <w:t xml:space="preserve"> v Olomouci</w:t>
      </w:r>
      <w:r w:rsidR="0043182A" w:rsidRPr="0070626D">
        <w:rPr>
          <w:rFonts w:ascii="Arial" w:hAnsi="Arial" w:cs="Arial"/>
          <w:b/>
          <w:sz w:val="20"/>
          <w:szCs w:val="20"/>
        </w:rPr>
        <w:t xml:space="preserve">. Vědci totiž syntetizovali a charakterizovali látky, které správně aktivují </w:t>
      </w:r>
      <w:proofErr w:type="spellStart"/>
      <w:r w:rsidR="0043182A" w:rsidRPr="0070626D">
        <w:rPr>
          <w:rFonts w:ascii="Arial" w:hAnsi="Arial" w:cs="Arial"/>
          <w:b/>
          <w:sz w:val="20"/>
          <w:szCs w:val="20"/>
        </w:rPr>
        <w:t>pregnanový</w:t>
      </w:r>
      <w:proofErr w:type="spellEnd"/>
      <w:r w:rsidR="0043182A" w:rsidRPr="0070626D">
        <w:rPr>
          <w:rFonts w:ascii="Arial" w:hAnsi="Arial" w:cs="Arial"/>
          <w:b/>
          <w:sz w:val="20"/>
          <w:szCs w:val="20"/>
        </w:rPr>
        <w:t xml:space="preserve"> X receptor a mají díky tomu protizánětlivý efekt. Výsledky vědecké práce publikoval prestižní vědecký časopis EMBO </w:t>
      </w:r>
      <w:proofErr w:type="spellStart"/>
      <w:r w:rsidR="0043182A" w:rsidRPr="0070626D">
        <w:rPr>
          <w:rFonts w:ascii="Arial" w:hAnsi="Arial" w:cs="Arial"/>
          <w:b/>
          <w:sz w:val="20"/>
          <w:szCs w:val="20"/>
        </w:rPr>
        <w:t>Molecular</w:t>
      </w:r>
      <w:proofErr w:type="spellEnd"/>
      <w:r w:rsidR="0043182A" w:rsidRPr="0070626D">
        <w:rPr>
          <w:rFonts w:ascii="Arial" w:hAnsi="Arial" w:cs="Arial"/>
          <w:b/>
          <w:sz w:val="20"/>
          <w:szCs w:val="20"/>
        </w:rPr>
        <w:t xml:space="preserve"> </w:t>
      </w:r>
      <w:proofErr w:type="spellStart"/>
      <w:r w:rsidR="0043182A" w:rsidRPr="0070626D">
        <w:rPr>
          <w:rFonts w:ascii="Arial" w:hAnsi="Arial" w:cs="Arial"/>
          <w:b/>
          <w:sz w:val="20"/>
          <w:szCs w:val="20"/>
        </w:rPr>
        <w:t>Medicine</w:t>
      </w:r>
      <w:proofErr w:type="spellEnd"/>
      <w:r w:rsidR="0043182A" w:rsidRPr="0070626D">
        <w:rPr>
          <w:rFonts w:ascii="Arial" w:hAnsi="Arial" w:cs="Arial"/>
          <w:b/>
          <w:sz w:val="20"/>
          <w:szCs w:val="20"/>
        </w:rPr>
        <w:t xml:space="preserve">. Mezinárodní studii věnoval i svoji titulní stránku. Další přední časopisy převzaly tento objev formou </w:t>
      </w:r>
      <w:proofErr w:type="spellStart"/>
      <w:r w:rsidR="0043182A" w:rsidRPr="0070626D">
        <w:rPr>
          <w:rFonts w:ascii="Arial" w:hAnsi="Arial" w:cs="Arial"/>
          <w:b/>
          <w:sz w:val="20"/>
          <w:szCs w:val="20"/>
        </w:rPr>
        <w:t>editoriálních</w:t>
      </w:r>
      <w:proofErr w:type="spellEnd"/>
      <w:r w:rsidR="0043182A" w:rsidRPr="0070626D">
        <w:rPr>
          <w:rFonts w:ascii="Arial" w:hAnsi="Arial" w:cs="Arial"/>
          <w:b/>
          <w:sz w:val="20"/>
          <w:szCs w:val="20"/>
        </w:rPr>
        <w:t xml:space="preserve"> textů.</w:t>
      </w:r>
    </w:p>
    <w:p w:rsidR="0043182A" w:rsidRPr="0070626D" w:rsidRDefault="0043182A" w:rsidP="0070626D">
      <w:pPr>
        <w:spacing w:before="120" w:after="120" w:line="264" w:lineRule="auto"/>
        <w:rPr>
          <w:rFonts w:ascii="Arial" w:hAnsi="Arial" w:cs="Arial"/>
          <w:sz w:val="20"/>
          <w:szCs w:val="20"/>
        </w:rPr>
      </w:pPr>
      <w:proofErr w:type="spellStart"/>
      <w:r w:rsidRPr="0070626D">
        <w:rPr>
          <w:rFonts w:ascii="Arial" w:hAnsi="Arial" w:cs="Arial"/>
          <w:sz w:val="20"/>
          <w:szCs w:val="20"/>
        </w:rPr>
        <w:t>Pregnanový</w:t>
      </w:r>
      <w:proofErr w:type="spellEnd"/>
      <w:r w:rsidRPr="0070626D">
        <w:rPr>
          <w:rFonts w:ascii="Arial" w:hAnsi="Arial" w:cs="Arial"/>
          <w:sz w:val="20"/>
          <w:szCs w:val="20"/>
        </w:rPr>
        <w:t xml:space="preserve"> X receptor (PXR), který byl objeven v polovině 90. let minulého století, byl dosud považovaný za tzv. </w:t>
      </w:r>
      <w:proofErr w:type="spellStart"/>
      <w:r w:rsidRPr="0070626D">
        <w:rPr>
          <w:rFonts w:ascii="Arial" w:hAnsi="Arial" w:cs="Arial"/>
          <w:sz w:val="20"/>
          <w:szCs w:val="20"/>
        </w:rPr>
        <w:t>xeno</w:t>
      </w:r>
      <w:proofErr w:type="spellEnd"/>
      <w:r w:rsidRPr="0070626D">
        <w:rPr>
          <w:rFonts w:ascii="Arial" w:hAnsi="Arial" w:cs="Arial"/>
          <w:sz w:val="20"/>
          <w:szCs w:val="20"/>
        </w:rPr>
        <w:t xml:space="preserve">-sensor a klíčový regulátor metabolismu léčiv, jehož aktivace je velmi nežádoucí z pohledu </w:t>
      </w:r>
      <w:proofErr w:type="spellStart"/>
      <w:r w:rsidRPr="0070626D">
        <w:rPr>
          <w:rFonts w:ascii="Arial" w:hAnsi="Arial" w:cs="Arial"/>
          <w:sz w:val="20"/>
          <w:szCs w:val="20"/>
        </w:rPr>
        <w:t>mezilékových</w:t>
      </w:r>
      <w:proofErr w:type="spellEnd"/>
      <w:r w:rsidRPr="0070626D">
        <w:rPr>
          <w:rFonts w:ascii="Arial" w:hAnsi="Arial" w:cs="Arial"/>
          <w:sz w:val="20"/>
          <w:szCs w:val="20"/>
        </w:rPr>
        <w:t xml:space="preserve"> interakcí a vzájemného působení mezi složkami potravy a léčivy. </w:t>
      </w:r>
    </w:p>
    <w:p w:rsidR="0043182A" w:rsidRPr="0070626D" w:rsidRDefault="0043182A" w:rsidP="0070626D">
      <w:pPr>
        <w:spacing w:before="120" w:after="120" w:line="264" w:lineRule="auto"/>
        <w:rPr>
          <w:rFonts w:ascii="Arial" w:hAnsi="Arial" w:cs="Arial"/>
          <w:sz w:val="20"/>
          <w:szCs w:val="20"/>
        </w:rPr>
      </w:pPr>
      <w:r w:rsidRPr="0070626D">
        <w:rPr>
          <w:rFonts w:ascii="Arial" w:hAnsi="Arial" w:cs="Arial"/>
          <w:sz w:val="20"/>
          <w:szCs w:val="20"/>
        </w:rPr>
        <w:t>Nyní ale odborníci prokázali, že správná endogenní aktivace receptoru PXR prostřednictvím běžných metabolitů je žádoucí pro řadu fyziologických dějů uvnitř organismu. Naopak nedostatečná endogenní aktivace PXR anebo jeho nadměrná aktivace cizorodými sloučeninami má za následek řadu patologických stavů, jako jsou zánětlivá onemocnění střev, tučnění jater, diabetes či Alzheimerova choroba. „</w:t>
      </w:r>
      <w:r w:rsidRPr="0070626D">
        <w:rPr>
          <w:rFonts w:ascii="Arial" w:hAnsi="Arial" w:cs="Arial"/>
          <w:i/>
          <w:sz w:val="20"/>
          <w:szCs w:val="20"/>
        </w:rPr>
        <w:t>Z toho plyne, že PXR je potenciálním cílem v terapii těchto onemocnění. V naší práci jsme se zabývali úlohou a</w:t>
      </w:r>
      <w:r w:rsidR="0070626D">
        <w:rPr>
          <w:rFonts w:ascii="Arial" w:hAnsi="Arial" w:cs="Arial"/>
          <w:i/>
          <w:sz w:val="20"/>
          <w:szCs w:val="20"/>
        </w:rPr>
        <w:t> </w:t>
      </w:r>
      <w:r w:rsidRPr="0070626D">
        <w:rPr>
          <w:rFonts w:ascii="Arial" w:hAnsi="Arial" w:cs="Arial"/>
          <w:i/>
          <w:sz w:val="20"/>
          <w:szCs w:val="20"/>
        </w:rPr>
        <w:t xml:space="preserve">terapeutickým cílením PXR v zánětlivých střevních onemocněních, jako je Crohnova choroba či ulcerózní kolitida. Inspiraci jsme našli v mikrobiální říši, konkrétně pak v látkách produkovaných lidským střevním </w:t>
      </w:r>
      <w:proofErr w:type="spellStart"/>
      <w:r w:rsidRPr="0070626D">
        <w:rPr>
          <w:rFonts w:ascii="Arial" w:hAnsi="Arial" w:cs="Arial"/>
          <w:i/>
          <w:sz w:val="20"/>
          <w:szCs w:val="20"/>
        </w:rPr>
        <w:t>mikrobiomem</w:t>
      </w:r>
      <w:proofErr w:type="spellEnd"/>
      <w:r w:rsidRPr="0070626D">
        <w:rPr>
          <w:rFonts w:ascii="Arial" w:hAnsi="Arial" w:cs="Arial"/>
          <w:sz w:val="20"/>
          <w:szCs w:val="20"/>
        </w:rPr>
        <w:t>," uvedl Zdeněk Dvořák z katedry buněčné biologie a genetiky.</w:t>
      </w:r>
    </w:p>
    <w:p w:rsidR="0043182A" w:rsidRPr="0070626D" w:rsidRDefault="0043182A" w:rsidP="0070626D">
      <w:pPr>
        <w:spacing w:before="120" w:after="120" w:line="264" w:lineRule="auto"/>
        <w:rPr>
          <w:rFonts w:ascii="Arial" w:hAnsi="Arial" w:cs="Arial"/>
          <w:sz w:val="20"/>
          <w:szCs w:val="20"/>
        </w:rPr>
      </w:pPr>
      <w:r w:rsidRPr="0070626D">
        <w:rPr>
          <w:rFonts w:ascii="Arial" w:hAnsi="Arial" w:cs="Arial"/>
          <w:sz w:val="20"/>
          <w:szCs w:val="20"/>
        </w:rPr>
        <w:t xml:space="preserve">Mezinárodní tým vědců při studii vycházel z dřívějšího pozorování týmu profesora </w:t>
      </w:r>
      <w:proofErr w:type="spellStart"/>
      <w:r w:rsidRPr="0070626D">
        <w:rPr>
          <w:rFonts w:ascii="Arial" w:hAnsi="Arial" w:cs="Arial"/>
          <w:sz w:val="20"/>
          <w:szCs w:val="20"/>
        </w:rPr>
        <w:t>Maniho</w:t>
      </w:r>
      <w:proofErr w:type="spellEnd"/>
      <w:r w:rsidRPr="0070626D">
        <w:rPr>
          <w:rFonts w:ascii="Arial" w:hAnsi="Arial" w:cs="Arial"/>
          <w:sz w:val="20"/>
          <w:szCs w:val="20"/>
        </w:rPr>
        <w:t xml:space="preserve"> z</w:t>
      </w:r>
      <w:r w:rsidR="005D1CE4">
        <w:rPr>
          <w:rFonts w:ascii="Arial" w:hAnsi="Arial" w:cs="Arial"/>
          <w:sz w:val="20"/>
          <w:szCs w:val="20"/>
        </w:rPr>
        <w:t> </w:t>
      </w:r>
      <w:r w:rsidRPr="0070626D">
        <w:rPr>
          <w:rFonts w:ascii="Arial" w:hAnsi="Arial" w:cs="Arial"/>
          <w:sz w:val="20"/>
          <w:szCs w:val="20"/>
        </w:rPr>
        <w:t xml:space="preserve">Albert Einstein </w:t>
      </w:r>
      <w:proofErr w:type="spellStart"/>
      <w:r w:rsidRPr="0070626D">
        <w:rPr>
          <w:rFonts w:ascii="Arial" w:hAnsi="Arial" w:cs="Arial"/>
          <w:sz w:val="20"/>
          <w:szCs w:val="20"/>
        </w:rPr>
        <w:t>College</w:t>
      </w:r>
      <w:proofErr w:type="spellEnd"/>
      <w:r w:rsidRPr="0070626D">
        <w:rPr>
          <w:rFonts w:ascii="Arial" w:hAnsi="Arial" w:cs="Arial"/>
          <w:sz w:val="20"/>
          <w:szCs w:val="20"/>
        </w:rPr>
        <w:t xml:space="preserve"> </w:t>
      </w:r>
      <w:proofErr w:type="spellStart"/>
      <w:r w:rsidRPr="0070626D">
        <w:rPr>
          <w:rFonts w:ascii="Arial" w:hAnsi="Arial" w:cs="Arial"/>
          <w:sz w:val="20"/>
          <w:szCs w:val="20"/>
        </w:rPr>
        <w:t>of</w:t>
      </w:r>
      <w:proofErr w:type="spellEnd"/>
      <w:r w:rsidRPr="0070626D">
        <w:rPr>
          <w:rFonts w:ascii="Arial" w:hAnsi="Arial" w:cs="Arial"/>
          <w:sz w:val="20"/>
          <w:szCs w:val="20"/>
        </w:rPr>
        <w:t xml:space="preserve"> </w:t>
      </w:r>
      <w:proofErr w:type="spellStart"/>
      <w:r w:rsidRPr="0070626D">
        <w:rPr>
          <w:rFonts w:ascii="Arial" w:hAnsi="Arial" w:cs="Arial"/>
          <w:sz w:val="20"/>
          <w:szCs w:val="20"/>
        </w:rPr>
        <w:t>Medicine</w:t>
      </w:r>
      <w:proofErr w:type="spellEnd"/>
      <w:r w:rsidRPr="0070626D">
        <w:rPr>
          <w:rFonts w:ascii="Arial" w:hAnsi="Arial" w:cs="Arial"/>
          <w:sz w:val="20"/>
          <w:szCs w:val="20"/>
        </w:rPr>
        <w:t xml:space="preserve"> v New Yorku. „</w:t>
      </w:r>
      <w:r w:rsidRPr="0070626D">
        <w:rPr>
          <w:rFonts w:ascii="Arial" w:hAnsi="Arial" w:cs="Arial"/>
          <w:i/>
          <w:sz w:val="20"/>
          <w:szCs w:val="20"/>
        </w:rPr>
        <w:t xml:space="preserve">Z něj vyplývá, že indol a kyselina </w:t>
      </w:r>
      <w:proofErr w:type="spellStart"/>
      <w:r w:rsidRPr="0070626D">
        <w:rPr>
          <w:rFonts w:ascii="Arial" w:hAnsi="Arial" w:cs="Arial"/>
          <w:i/>
          <w:sz w:val="20"/>
          <w:szCs w:val="20"/>
        </w:rPr>
        <w:t>indolyl</w:t>
      </w:r>
      <w:proofErr w:type="spellEnd"/>
      <w:r w:rsidRPr="0070626D">
        <w:rPr>
          <w:rFonts w:ascii="Arial" w:hAnsi="Arial" w:cs="Arial"/>
          <w:i/>
          <w:sz w:val="20"/>
          <w:szCs w:val="20"/>
        </w:rPr>
        <w:t xml:space="preserve">-propionová IPA, produkované střevní </w:t>
      </w:r>
      <w:proofErr w:type="spellStart"/>
      <w:r w:rsidRPr="0070626D">
        <w:rPr>
          <w:rFonts w:ascii="Arial" w:hAnsi="Arial" w:cs="Arial"/>
          <w:i/>
          <w:sz w:val="20"/>
          <w:szCs w:val="20"/>
        </w:rPr>
        <w:t>mikroflorou</w:t>
      </w:r>
      <w:proofErr w:type="spellEnd"/>
      <w:r w:rsidRPr="0070626D">
        <w:rPr>
          <w:rFonts w:ascii="Arial" w:hAnsi="Arial" w:cs="Arial"/>
          <w:i/>
          <w:sz w:val="20"/>
          <w:szCs w:val="20"/>
        </w:rPr>
        <w:t>, působí u myší proti střevním zánětům prostřednictvím receptoru PXR. Pokud je tato signalizace nedostatečná, dochází k</w:t>
      </w:r>
      <w:r w:rsidR="005D1CE4">
        <w:rPr>
          <w:rFonts w:ascii="Arial" w:hAnsi="Arial" w:cs="Arial"/>
          <w:i/>
          <w:sz w:val="20"/>
          <w:szCs w:val="20"/>
        </w:rPr>
        <w:t> </w:t>
      </w:r>
      <w:r w:rsidRPr="0070626D">
        <w:rPr>
          <w:rFonts w:ascii="Arial" w:hAnsi="Arial" w:cs="Arial"/>
          <w:i/>
          <w:sz w:val="20"/>
          <w:szCs w:val="20"/>
        </w:rPr>
        <w:t>rozvoji těchto patologických stavů</w:t>
      </w:r>
      <w:r w:rsidRPr="0070626D">
        <w:rPr>
          <w:rFonts w:ascii="Arial" w:hAnsi="Arial" w:cs="Arial"/>
          <w:sz w:val="20"/>
          <w:szCs w:val="20"/>
        </w:rPr>
        <w:t>," popsal Zdeněk Dvořák mechanismus vlivu receptoru PXR na zánětlivé procesy v těle.</w:t>
      </w:r>
    </w:p>
    <w:p w:rsidR="0043182A" w:rsidRPr="0070626D" w:rsidRDefault="0043182A" w:rsidP="0070626D">
      <w:pPr>
        <w:spacing w:before="120" w:after="120" w:line="264" w:lineRule="auto"/>
        <w:rPr>
          <w:rFonts w:ascii="Arial" w:hAnsi="Arial" w:cs="Arial"/>
          <w:sz w:val="20"/>
          <w:szCs w:val="20"/>
        </w:rPr>
      </w:pPr>
      <w:r w:rsidRPr="0070626D">
        <w:rPr>
          <w:rFonts w:ascii="Arial" w:hAnsi="Arial" w:cs="Arial"/>
          <w:sz w:val="20"/>
          <w:szCs w:val="20"/>
        </w:rPr>
        <w:t>Vědci proto v laboratořích připravili látky, které napodobují mikrobiální indolové katabolity a</w:t>
      </w:r>
      <w:r w:rsidR="005D1CE4">
        <w:rPr>
          <w:rFonts w:ascii="Arial" w:hAnsi="Arial" w:cs="Arial"/>
          <w:sz w:val="20"/>
          <w:szCs w:val="20"/>
        </w:rPr>
        <w:t> </w:t>
      </w:r>
      <w:r w:rsidRPr="0070626D">
        <w:rPr>
          <w:rFonts w:ascii="Arial" w:hAnsi="Arial" w:cs="Arial"/>
          <w:sz w:val="20"/>
          <w:szCs w:val="20"/>
        </w:rPr>
        <w:t>mají potenciál správně aktivovat receptor PXR. „</w:t>
      </w:r>
      <w:r w:rsidRPr="0070626D">
        <w:rPr>
          <w:rFonts w:ascii="Arial" w:hAnsi="Arial" w:cs="Arial"/>
          <w:i/>
          <w:sz w:val="20"/>
          <w:szCs w:val="20"/>
        </w:rPr>
        <w:t xml:space="preserve">Prokázali jsme, že naše látky na bázi konceptu </w:t>
      </w:r>
      <w:proofErr w:type="spellStart"/>
      <w:r w:rsidRPr="0070626D">
        <w:rPr>
          <w:rFonts w:ascii="Arial" w:hAnsi="Arial" w:cs="Arial"/>
          <w:i/>
          <w:sz w:val="20"/>
          <w:szCs w:val="20"/>
        </w:rPr>
        <w:t>microbial</w:t>
      </w:r>
      <w:proofErr w:type="spellEnd"/>
      <w:r w:rsidRPr="0070626D">
        <w:rPr>
          <w:rFonts w:ascii="Arial" w:hAnsi="Arial" w:cs="Arial"/>
          <w:i/>
          <w:sz w:val="20"/>
          <w:szCs w:val="20"/>
        </w:rPr>
        <w:t xml:space="preserve"> metabolite </w:t>
      </w:r>
      <w:proofErr w:type="spellStart"/>
      <w:r w:rsidRPr="0070626D">
        <w:rPr>
          <w:rFonts w:ascii="Arial" w:hAnsi="Arial" w:cs="Arial"/>
          <w:i/>
          <w:sz w:val="20"/>
          <w:szCs w:val="20"/>
        </w:rPr>
        <w:t>mimicry</w:t>
      </w:r>
      <w:proofErr w:type="spellEnd"/>
      <w:r w:rsidRPr="0070626D">
        <w:rPr>
          <w:rFonts w:ascii="Arial" w:hAnsi="Arial" w:cs="Arial"/>
          <w:i/>
          <w:sz w:val="20"/>
          <w:szCs w:val="20"/>
        </w:rPr>
        <w:t>, které ve struktuře obsahují indol a IPA, mají vysokou schopnost aktivovat PXR. Tyto látky vykazují protizánětlivou aktivitu v lidských střevních liniích, lidských střevních organoidech a v živém organismu u myší poté, co byla experimentálně vyvol</w:t>
      </w:r>
      <w:r w:rsidR="005D1CE4">
        <w:rPr>
          <w:rFonts w:ascii="Arial" w:hAnsi="Arial" w:cs="Arial"/>
          <w:i/>
          <w:sz w:val="20"/>
          <w:szCs w:val="20"/>
        </w:rPr>
        <w:t>á</w:t>
      </w:r>
      <w:r w:rsidRPr="0070626D">
        <w:rPr>
          <w:rFonts w:ascii="Arial" w:hAnsi="Arial" w:cs="Arial"/>
          <w:i/>
          <w:sz w:val="20"/>
          <w:szCs w:val="20"/>
        </w:rPr>
        <w:t>n</w:t>
      </w:r>
      <w:r w:rsidR="005D1CE4">
        <w:rPr>
          <w:rFonts w:ascii="Arial" w:hAnsi="Arial" w:cs="Arial"/>
          <w:i/>
          <w:sz w:val="20"/>
          <w:szCs w:val="20"/>
        </w:rPr>
        <w:t>a</w:t>
      </w:r>
      <w:r w:rsidRPr="0070626D">
        <w:rPr>
          <w:rFonts w:ascii="Arial" w:hAnsi="Arial" w:cs="Arial"/>
          <w:i/>
          <w:sz w:val="20"/>
          <w:szCs w:val="20"/>
        </w:rPr>
        <w:t xml:space="preserve"> kolitida</w:t>
      </w:r>
      <w:r w:rsidRPr="0070626D">
        <w:rPr>
          <w:rFonts w:ascii="Arial" w:hAnsi="Arial" w:cs="Arial"/>
          <w:sz w:val="20"/>
          <w:szCs w:val="20"/>
        </w:rPr>
        <w:t>," podotkl Zdeněk Dvořák.</w:t>
      </w:r>
    </w:p>
    <w:p w:rsidR="0043182A" w:rsidRPr="0070626D" w:rsidRDefault="0043182A" w:rsidP="0070626D">
      <w:pPr>
        <w:spacing w:before="120" w:after="120" w:line="264" w:lineRule="auto"/>
        <w:rPr>
          <w:rFonts w:ascii="Arial" w:hAnsi="Arial" w:cs="Arial"/>
          <w:sz w:val="20"/>
          <w:szCs w:val="20"/>
        </w:rPr>
      </w:pPr>
      <w:r w:rsidRPr="0070626D">
        <w:rPr>
          <w:rFonts w:ascii="Arial" w:hAnsi="Arial" w:cs="Arial"/>
          <w:sz w:val="20"/>
          <w:szCs w:val="20"/>
        </w:rPr>
        <w:lastRenderedPageBreak/>
        <w:t>Na výsledky mezinárodní studie vlivu zkoumaných látek na fungování receptoru PXR už bylo ve Spojených státech v roce 2018 zahájeno patentové řízení. „</w:t>
      </w:r>
      <w:r w:rsidRPr="0070626D">
        <w:rPr>
          <w:rFonts w:ascii="Arial" w:hAnsi="Arial" w:cs="Arial"/>
          <w:i/>
          <w:sz w:val="20"/>
          <w:szCs w:val="20"/>
        </w:rPr>
        <w:t>Předmětem ochrany je potenciální využití našich látek v léčbě střevních zánětlivých onemocnění</w:t>
      </w:r>
      <w:r w:rsidRPr="0070626D">
        <w:rPr>
          <w:rFonts w:ascii="Arial" w:hAnsi="Arial" w:cs="Arial"/>
          <w:sz w:val="20"/>
          <w:szCs w:val="20"/>
        </w:rPr>
        <w:t>," doplnil Zdeněk Dvořák.</w:t>
      </w:r>
    </w:p>
    <w:p w:rsidR="0043182A" w:rsidRPr="0070626D" w:rsidRDefault="0043182A" w:rsidP="0070626D">
      <w:pPr>
        <w:spacing w:before="120" w:after="120" w:line="264" w:lineRule="auto"/>
        <w:rPr>
          <w:rFonts w:ascii="Arial" w:hAnsi="Arial" w:cs="Arial"/>
          <w:sz w:val="20"/>
          <w:szCs w:val="20"/>
        </w:rPr>
      </w:pPr>
      <w:r w:rsidRPr="0070626D">
        <w:rPr>
          <w:rFonts w:ascii="Arial" w:hAnsi="Arial" w:cs="Arial"/>
          <w:sz w:val="20"/>
          <w:szCs w:val="20"/>
        </w:rPr>
        <w:t>Studie vznikla společným úsilím pracovníků ze 17 výzkumných institucí v USA, Kanadě, Itálii, Indii, Slovensku a České republice. „</w:t>
      </w:r>
      <w:r w:rsidRPr="0070626D">
        <w:rPr>
          <w:rFonts w:ascii="Arial" w:hAnsi="Arial" w:cs="Arial"/>
          <w:i/>
          <w:sz w:val="20"/>
          <w:szCs w:val="20"/>
        </w:rPr>
        <w:t>Katedra buněčné biologie a genetiky měla na studii zásadní podíl.</w:t>
      </w:r>
      <w:r w:rsidR="00056A06">
        <w:rPr>
          <w:rFonts w:ascii="Arial" w:hAnsi="Arial" w:cs="Arial"/>
          <w:i/>
          <w:sz w:val="20"/>
          <w:szCs w:val="20"/>
        </w:rPr>
        <w:t xml:space="preserve"> S</w:t>
      </w:r>
      <w:r w:rsidRPr="0070626D">
        <w:rPr>
          <w:rFonts w:ascii="Arial" w:hAnsi="Arial" w:cs="Arial"/>
          <w:i/>
          <w:sz w:val="20"/>
          <w:szCs w:val="20"/>
        </w:rPr>
        <w:t>dílené první autorství a současně sdílenou pozici korespondenčního autora zastávají lidé z Přírodovědecké fakulty UP. Jedná se o výsledek dlouhodobé a</w:t>
      </w:r>
      <w:r w:rsidR="00056A06">
        <w:rPr>
          <w:rFonts w:ascii="Arial" w:hAnsi="Arial" w:cs="Arial"/>
          <w:i/>
          <w:sz w:val="20"/>
          <w:szCs w:val="20"/>
        </w:rPr>
        <w:t> </w:t>
      </w:r>
      <w:r w:rsidRPr="0070626D">
        <w:rPr>
          <w:rFonts w:ascii="Arial" w:hAnsi="Arial" w:cs="Arial"/>
          <w:i/>
          <w:sz w:val="20"/>
          <w:szCs w:val="20"/>
        </w:rPr>
        <w:t>hluboké vědecko-pedagogické spolupráce mezi katedrou buněčné biologie a genetiky a</w:t>
      </w:r>
      <w:r w:rsidR="00056A06">
        <w:rPr>
          <w:rFonts w:ascii="Arial" w:hAnsi="Arial" w:cs="Arial"/>
          <w:i/>
          <w:sz w:val="20"/>
          <w:szCs w:val="20"/>
        </w:rPr>
        <w:t> </w:t>
      </w:r>
      <w:r w:rsidRPr="0070626D">
        <w:rPr>
          <w:rFonts w:ascii="Arial" w:hAnsi="Arial" w:cs="Arial"/>
          <w:i/>
          <w:sz w:val="20"/>
          <w:szCs w:val="20"/>
        </w:rPr>
        <w:t xml:space="preserve">Albert Einstein </w:t>
      </w:r>
      <w:proofErr w:type="spellStart"/>
      <w:r w:rsidRPr="0070626D">
        <w:rPr>
          <w:rFonts w:ascii="Arial" w:hAnsi="Arial" w:cs="Arial"/>
          <w:i/>
          <w:sz w:val="20"/>
          <w:szCs w:val="20"/>
        </w:rPr>
        <w:t>College</w:t>
      </w:r>
      <w:proofErr w:type="spellEnd"/>
      <w:r w:rsidRPr="0070626D">
        <w:rPr>
          <w:rFonts w:ascii="Arial" w:hAnsi="Arial" w:cs="Arial"/>
          <w:i/>
          <w:sz w:val="20"/>
          <w:szCs w:val="20"/>
        </w:rPr>
        <w:t xml:space="preserve"> </w:t>
      </w:r>
      <w:proofErr w:type="spellStart"/>
      <w:r w:rsidRPr="0070626D">
        <w:rPr>
          <w:rFonts w:ascii="Arial" w:hAnsi="Arial" w:cs="Arial"/>
          <w:i/>
          <w:sz w:val="20"/>
          <w:szCs w:val="20"/>
        </w:rPr>
        <w:t>of</w:t>
      </w:r>
      <w:proofErr w:type="spellEnd"/>
      <w:r w:rsidRPr="0070626D">
        <w:rPr>
          <w:rFonts w:ascii="Arial" w:hAnsi="Arial" w:cs="Arial"/>
          <w:i/>
          <w:sz w:val="20"/>
          <w:szCs w:val="20"/>
        </w:rPr>
        <w:t xml:space="preserve"> </w:t>
      </w:r>
      <w:proofErr w:type="spellStart"/>
      <w:r w:rsidRPr="0070626D">
        <w:rPr>
          <w:rFonts w:ascii="Arial" w:hAnsi="Arial" w:cs="Arial"/>
          <w:i/>
          <w:sz w:val="20"/>
          <w:szCs w:val="20"/>
        </w:rPr>
        <w:t>Medicine</w:t>
      </w:r>
      <w:proofErr w:type="spellEnd"/>
      <w:r w:rsidRPr="0070626D">
        <w:rPr>
          <w:rFonts w:ascii="Arial" w:hAnsi="Arial" w:cs="Arial"/>
          <w:i/>
          <w:sz w:val="20"/>
          <w:szCs w:val="20"/>
        </w:rPr>
        <w:t xml:space="preserve"> New York</w:t>
      </w:r>
      <w:r w:rsidRPr="0070626D">
        <w:rPr>
          <w:rFonts w:ascii="Arial" w:hAnsi="Arial" w:cs="Arial"/>
          <w:sz w:val="20"/>
          <w:szCs w:val="20"/>
        </w:rPr>
        <w:t>," dodal Dvořák.</w:t>
      </w:r>
    </w:p>
    <w:p w:rsidR="00A2224C" w:rsidRPr="0070626D" w:rsidRDefault="00A2224C" w:rsidP="0070626D">
      <w:pPr>
        <w:spacing w:before="120" w:after="120" w:line="264" w:lineRule="auto"/>
        <w:rPr>
          <w:rFonts w:ascii="Arial" w:eastAsia="Times New Roman" w:hAnsi="Arial" w:cs="Arial"/>
          <w:b/>
          <w:sz w:val="20"/>
          <w:szCs w:val="20"/>
          <w:lang w:eastAsia="cs-CZ"/>
        </w:rPr>
      </w:pPr>
    </w:p>
    <w:p w:rsidR="00702C0D" w:rsidRPr="0070626D" w:rsidRDefault="00D21CB0" w:rsidP="0070626D">
      <w:pPr>
        <w:spacing w:before="120" w:after="120" w:line="264" w:lineRule="auto"/>
        <w:rPr>
          <w:rFonts w:ascii="Arial" w:eastAsia="Times New Roman" w:hAnsi="Arial" w:cs="Arial"/>
          <w:sz w:val="20"/>
          <w:szCs w:val="20"/>
          <w:lang w:eastAsia="cs-CZ"/>
        </w:rPr>
      </w:pPr>
      <w:r w:rsidRPr="0070626D">
        <w:rPr>
          <w:rFonts w:ascii="Arial" w:eastAsia="Times New Roman" w:hAnsi="Arial" w:cs="Arial"/>
          <w:b/>
          <w:sz w:val="20"/>
          <w:szCs w:val="20"/>
          <w:lang w:eastAsia="cs-CZ"/>
        </w:rPr>
        <w:t>Kontaktní osoba</w:t>
      </w:r>
      <w:r w:rsidR="00904AED" w:rsidRPr="0070626D">
        <w:rPr>
          <w:rFonts w:ascii="Arial" w:eastAsia="Times New Roman" w:hAnsi="Arial" w:cs="Arial"/>
          <w:sz w:val="20"/>
          <w:szCs w:val="20"/>
          <w:lang w:eastAsia="cs-CZ"/>
        </w:rPr>
        <w:t>:</w:t>
      </w:r>
      <w:r w:rsidR="007E575F" w:rsidRPr="0070626D">
        <w:rPr>
          <w:rFonts w:ascii="Arial" w:eastAsia="Times New Roman" w:hAnsi="Arial" w:cs="Arial"/>
          <w:sz w:val="20"/>
          <w:szCs w:val="20"/>
          <w:lang w:eastAsia="cs-CZ"/>
        </w:rPr>
        <w:br/>
      </w:r>
      <w:r w:rsidR="00A2224C" w:rsidRPr="0070626D">
        <w:rPr>
          <w:rFonts w:ascii="Arial" w:eastAsia="Times New Roman" w:hAnsi="Arial" w:cs="Arial"/>
          <w:sz w:val="20"/>
          <w:szCs w:val="20"/>
          <w:lang w:eastAsia="cs-CZ"/>
        </w:rPr>
        <w:t>Šárka Chovancová</w:t>
      </w:r>
      <w:r w:rsidRPr="0070626D">
        <w:rPr>
          <w:rFonts w:ascii="Arial" w:eastAsia="Times New Roman" w:hAnsi="Arial" w:cs="Arial"/>
          <w:sz w:val="20"/>
          <w:szCs w:val="20"/>
          <w:lang w:eastAsia="cs-CZ"/>
        </w:rPr>
        <w:t xml:space="preserve"> | </w:t>
      </w:r>
      <w:r w:rsidR="00A2224C" w:rsidRPr="0070626D">
        <w:rPr>
          <w:rFonts w:ascii="Arial" w:eastAsia="Times New Roman" w:hAnsi="Arial" w:cs="Arial"/>
          <w:sz w:val="20"/>
          <w:szCs w:val="20"/>
          <w:lang w:eastAsia="cs-CZ"/>
        </w:rPr>
        <w:t>redaktorka</w:t>
      </w:r>
      <w:r w:rsidR="00A2224C" w:rsidRPr="0070626D">
        <w:rPr>
          <w:rFonts w:ascii="Arial" w:eastAsia="Times New Roman" w:hAnsi="Arial" w:cs="Arial"/>
          <w:sz w:val="20"/>
          <w:szCs w:val="20"/>
          <w:lang w:eastAsia="cs-CZ"/>
        </w:rPr>
        <w:br/>
        <w:t>Přírodovědecká fakulta Univerzity Palackého</w:t>
      </w:r>
      <w:r w:rsidRPr="0070626D">
        <w:rPr>
          <w:rFonts w:ascii="Arial" w:eastAsia="Times New Roman" w:hAnsi="Arial" w:cs="Arial"/>
          <w:sz w:val="20"/>
          <w:szCs w:val="20"/>
          <w:lang w:eastAsia="cs-CZ"/>
        </w:rPr>
        <w:br/>
        <w:t xml:space="preserve">E: </w:t>
      </w:r>
      <w:hyperlink r:id="rId6" w:history="1">
        <w:r w:rsidR="00A2224C" w:rsidRPr="0070626D">
          <w:rPr>
            <w:rStyle w:val="Hypertextovodkaz"/>
            <w:rFonts w:ascii="Arial" w:hAnsi="Arial" w:cs="Arial"/>
            <w:noProof/>
            <w:sz w:val="20"/>
            <w:szCs w:val="20"/>
            <w:lang w:eastAsia="cs-CZ"/>
          </w:rPr>
          <w:t>sarka.chovancova@upol.cz</w:t>
        </w:r>
      </w:hyperlink>
      <w:r w:rsidR="00A2224C" w:rsidRPr="0070626D">
        <w:rPr>
          <w:rFonts w:ascii="Arial" w:hAnsi="Arial" w:cs="Arial"/>
          <w:noProof/>
          <w:sz w:val="20"/>
          <w:szCs w:val="20"/>
          <w:lang w:eastAsia="cs-CZ"/>
        </w:rPr>
        <w:t xml:space="preserve"> |</w:t>
      </w:r>
      <w:r w:rsidRPr="0070626D">
        <w:rPr>
          <w:rStyle w:val="Hypertextovodkaz"/>
          <w:rFonts w:ascii="Arial" w:hAnsi="Arial" w:cs="Arial"/>
          <w:sz w:val="20"/>
          <w:szCs w:val="20"/>
          <w:u w:val="none"/>
        </w:rPr>
        <w:t xml:space="preserve"> </w:t>
      </w:r>
      <w:r w:rsidRPr="0070626D">
        <w:rPr>
          <w:rFonts w:ascii="Arial" w:eastAsia="Times New Roman" w:hAnsi="Arial" w:cs="Arial"/>
          <w:sz w:val="20"/>
          <w:szCs w:val="20"/>
          <w:lang w:eastAsia="cs-CZ"/>
        </w:rPr>
        <w:t xml:space="preserve">M: </w:t>
      </w:r>
      <w:r w:rsidR="00A2224C" w:rsidRPr="0070626D">
        <w:rPr>
          <w:rFonts w:ascii="Arial" w:eastAsia="Times New Roman" w:hAnsi="Arial" w:cs="Arial"/>
          <w:sz w:val="20"/>
          <w:szCs w:val="20"/>
          <w:lang w:eastAsia="cs-CZ"/>
        </w:rPr>
        <w:t>776 095 547</w:t>
      </w:r>
    </w:p>
    <w:sectPr w:rsidR="00702C0D" w:rsidRPr="0070626D" w:rsidSect="004B1204">
      <w:headerReference w:type="even" r:id="rId7"/>
      <w:headerReference w:type="default" r:id="rId8"/>
      <w:footerReference w:type="even" r:id="rId9"/>
      <w:footerReference w:type="default" r:id="rId10"/>
      <w:headerReference w:type="first" r:id="rId11"/>
      <w:footerReference w:type="first" r:id="rId12"/>
      <w:pgSz w:w="11906" w:h="16838" w:code="9"/>
      <w:pgMar w:top="-1985" w:right="1418" w:bottom="1843" w:left="2268"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B7D" w:rsidRDefault="00527B7D" w:rsidP="00F15613">
      <w:pPr>
        <w:spacing w:line="240" w:lineRule="auto"/>
      </w:pPr>
      <w:r>
        <w:separator/>
      </w:r>
    </w:p>
  </w:endnote>
  <w:endnote w:type="continuationSeparator" w:id="0">
    <w:p w:rsidR="00527B7D" w:rsidRDefault="00527B7D" w:rsidP="00F156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NSimSun">
    <w:panose1 w:val="02010609030101010101"/>
    <w:charset w:val="86"/>
    <w:family w:val="modern"/>
    <w:pitch w:val="fixed"/>
    <w:sig w:usb0="0000028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EEB" w:rsidRDefault="00334EE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3B8" w:rsidRDefault="006C03B8" w:rsidP="006C03B8">
    <w:pPr>
      <w:pStyle w:val="Zpat"/>
      <w:rPr>
        <w:bCs/>
      </w:rPr>
    </w:pPr>
  </w:p>
  <w:p w:rsidR="006C03B8" w:rsidRPr="006C03B8" w:rsidRDefault="006C03B8" w:rsidP="006C03B8">
    <w:pPr>
      <w:pStyle w:val="Zpat"/>
      <w:rPr>
        <w:bCs/>
      </w:rPr>
    </w:pPr>
  </w:p>
  <w:p w:rsidR="00F66276" w:rsidRDefault="00604AB8" w:rsidP="006C03B8">
    <w:pPr>
      <w:pStyle w:val="Zpat"/>
      <w:rPr>
        <w:bCs/>
        <w:noProof/>
      </w:rPr>
    </w:pPr>
    <w:r>
      <w:rPr>
        <w:bCs/>
        <w:noProof/>
      </w:rPr>
      <w:t>Gabriela Sýkorová Dvorníková I tisková</w:t>
    </w:r>
    <w:r w:rsidR="004D7636">
      <w:rPr>
        <w:bCs/>
        <w:noProof/>
      </w:rPr>
      <w:t xml:space="preserve"> mluvčí</w:t>
    </w:r>
  </w:p>
  <w:p w:rsidR="004D7636" w:rsidRDefault="006C03B8" w:rsidP="006C03B8">
    <w:pPr>
      <w:pStyle w:val="Zpat"/>
      <w:rPr>
        <w:bCs/>
        <w:noProof/>
      </w:rPr>
    </w:pPr>
    <w:r w:rsidRPr="006C03B8">
      <w:rPr>
        <w:bCs/>
        <w:noProof/>
      </w:rPr>
      <w:t>Univerzit</w:t>
    </w:r>
    <w:r w:rsidR="004D7636">
      <w:rPr>
        <w:bCs/>
        <w:noProof/>
      </w:rPr>
      <w:t>a</w:t>
    </w:r>
    <w:r w:rsidRPr="006C03B8">
      <w:rPr>
        <w:bCs/>
        <w:noProof/>
      </w:rPr>
      <w:t xml:space="preserve"> Palackého v</w:t>
    </w:r>
    <w:r w:rsidR="005E1665">
      <w:rPr>
        <w:bCs/>
        <w:noProof/>
      </w:rPr>
      <w:t xml:space="preserve"> </w:t>
    </w:r>
    <w:r w:rsidRPr="006C03B8">
      <w:rPr>
        <w:bCs/>
        <w:noProof/>
      </w:rPr>
      <w:t>Olomouci</w:t>
    </w:r>
    <w:r w:rsidR="00F66276">
      <w:rPr>
        <w:bCs/>
        <w:noProof/>
      </w:rPr>
      <w:t xml:space="preserve"> | </w:t>
    </w:r>
    <w:r w:rsidR="004D7636">
      <w:rPr>
        <w:bCs/>
        <w:noProof/>
      </w:rPr>
      <w:t>oddělení komunikace</w:t>
    </w:r>
  </w:p>
  <w:p w:rsidR="006C03B8" w:rsidRPr="006C03B8" w:rsidRDefault="006C03B8" w:rsidP="006C03B8">
    <w:pPr>
      <w:pStyle w:val="Zpat"/>
      <w:rPr>
        <w:bCs/>
        <w:noProof/>
      </w:rPr>
    </w:pPr>
    <w:r w:rsidRPr="006C03B8">
      <w:rPr>
        <w:bCs/>
        <w:noProof/>
      </w:rPr>
      <w:t xml:space="preserve">E: </w:t>
    </w:r>
    <w:r w:rsidR="00604AB8">
      <w:rPr>
        <w:bCs/>
        <w:noProof/>
      </w:rPr>
      <w:t>gabriela.sykorova</w:t>
    </w:r>
    <w:r w:rsidR="004D7636">
      <w:rPr>
        <w:bCs/>
        <w:noProof/>
      </w:rPr>
      <w:t>@upol.cz</w:t>
    </w:r>
    <w:r w:rsidRPr="006C03B8">
      <w:rPr>
        <w:bCs/>
        <w:noProof/>
      </w:rPr>
      <w:t xml:space="preserve"> | T: </w:t>
    </w:r>
    <w:r w:rsidR="00F66276" w:rsidRPr="00F66276">
      <w:rPr>
        <w:bCs/>
        <w:noProof/>
      </w:rPr>
      <w:t>585</w:t>
    </w:r>
    <w:r w:rsidR="006D50C7">
      <w:rPr>
        <w:bCs/>
        <w:noProof/>
      </w:rPr>
      <w:t xml:space="preserve"> </w:t>
    </w:r>
    <w:r w:rsidR="004D7636">
      <w:rPr>
        <w:bCs/>
        <w:noProof/>
      </w:rPr>
      <w:t>631</w:t>
    </w:r>
    <w:r w:rsidR="006D50C7">
      <w:rPr>
        <w:bCs/>
        <w:noProof/>
      </w:rPr>
      <w:t xml:space="preserve"> </w:t>
    </w:r>
    <w:r w:rsidR="004D7636">
      <w:rPr>
        <w:bCs/>
        <w:noProof/>
      </w:rPr>
      <w:t>020 I M: 733</w:t>
    </w:r>
    <w:r w:rsidR="006D50C7">
      <w:rPr>
        <w:bCs/>
        <w:noProof/>
      </w:rPr>
      <w:t xml:space="preserve"> </w:t>
    </w:r>
    <w:r w:rsidR="004D7636">
      <w:rPr>
        <w:bCs/>
        <w:noProof/>
      </w:rPr>
      <w:t>690 461</w:t>
    </w:r>
  </w:p>
  <w:p w:rsidR="00F15613" w:rsidRPr="007C6C87" w:rsidRDefault="004D7636" w:rsidP="00F66276">
    <w:pPr>
      <w:pStyle w:val="Zpat"/>
      <w:rPr>
        <w:b/>
        <w:noProof/>
      </w:rPr>
    </w:pPr>
    <w:r>
      <w:rPr>
        <w:b/>
        <w:bCs/>
        <w:noProof/>
      </w:rPr>
      <w:t>www.upol.cz</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3B8" w:rsidRDefault="006C03B8" w:rsidP="006B09DC">
    <w:pPr>
      <w:pStyle w:val="Zpat"/>
      <w:rPr>
        <w:bCs/>
      </w:rPr>
    </w:pPr>
  </w:p>
  <w:p w:rsidR="006C03B8" w:rsidRDefault="006C03B8" w:rsidP="006B09DC">
    <w:pPr>
      <w:pStyle w:val="Zpat"/>
      <w:rPr>
        <w:bCs/>
      </w:rPr>
    </w:pPr>
  </w:p>
  <w:p w:rsidR="004D7636" w:rsidRDefault="004D7636" w:rsidP="005E1665">
    <w:pPr>
      <w:pStyle w:val="Zpat"/>
      <w:rPr>
        <w:bCs/>
        <w:noProof/>
      </w:rPr>
    </w:pPr>
  </w:p>
  <w:p w:rsidR="00334EEB" w:rsidRDefault="00334EEB" w:rsidP="00334EEB">
    <w:pPr>
      <w:pStyle w:val="Zpat"/>
      <w:rPr>
        <w:bCs/>
        <w:noProof/>
      </w:rPr>
    </w:pPr>
    <w:r>
      <w:rPr>
        <w:bCs/>
        <w:noProof/>
      </w:rPr>
      <w:t>Gabriela Sýkorová Dvorníková I tisková mluvčí</w:t>
    </w:r>
  </w:p>
  <w:p w:rsidR="00334EEB" w:rsidRDefault="00334EEB" w:rsidP="00334EEB">
    <w:pPr>
      <w:pStyle w:val="Zpat"/>
      <w:rPr>
        <w:bCs/>
        <w:noProof/>
      </w:rPr>
    </w:pPr>
    <w:r w:rsidRPr="006C03B8">
      <w:rPr>
        <w:bCs/>
        <w:noProof/>
      </w:rPr>
      <w:t>Univerzit</w:t>
    </w:r>
    <w:r>
      <w:rPr>
        <w:bCs/>
        <w:noProof/>
      </w:rPr>
      <w:t>a</w:t>
    </w:r>
    <w:r w:rsidRPr="006C03B8">
      <w:rPr>
        <w:bCs/>
        <w:noProof/>
      </w:rPr>
      <w:t xml:space="preserve"> Palackého v</w:t>
    </w:r>
    <w:r>
      <w:rPr>
        <w:bCs/>
        <w:noProof/>
      </w:rPr>
      <w:t xml:space="preserve"> </w:t>
    </w:r>
    <w:r w:rsidRPr="006C03B8">
      <w:rPr>
        <w:bCs/>
        <w:noProof/>
      </w:rPr>
      <w:t>Olomouci</w:t>
    </w:r>
    <w:r>
      <w:rPr>
        <w:bCs/>
        <w:noProof/>
      </w:rPr>
      <w:t xml:space="preserve"> | oddělení komunikace</w:t>
    </w:r>
  </w:p>
  <w:p w:rsidR="00334EEB" w:rsidRPr="006C03B8" w:rsidRDefault="00334EEB" w:rsidP="00334EEB">
    <w:pPr>
      <w:pStyle w:val="Zpat"/>
      <w:rPr>
        <w:bCs/>
        <w:noProof/>
      </w:rPr>
    </w:pPr>
    <w:r w:rsidRPr="006C03B8">
      <w:rPr>
        <w:bCs/>
        <w:noProof/>
      </w:rPr>
      <w:t xml:space="preserve">E: </w:t>
    </w:r>
    <w:r>
      <w:rPr>
        <w:bCs/>
        <w:noProof/>
      </w:rPr>
      <w:t>gabriela.sykorova@upol.cz</w:t>
    </w:r>
    <w:r w:rsidRPr="006C03B8">
      <w:rPr>
        <w:bCs/>
        <w:noProof/>
      </w:rPr>
      <w:t xml:space="preserve"> | T: </w:t>
    </w:r>
    <w:r w:rsidRPr="00F66276">
      <w:rPr>
        <w:bCs/>
        <w:noProof/>
      </w:rPr>
      <w:t>585</w:t>
    </w:r>
    <w:r>
      <w:rPr>
        <w:bCs/>
        <w:noProof/>
      </w:rPr>
      <w:t xml:space="preserve"> 631 020 I M: 733 690 461</w:t>
    </w:r>
  </w:p>
  <w:p w:rsidR="004D7636" w:rsidRPr="007C6C87" w:rsidRDefault="00334EEB" w:rsidP="00334EEB">
    <w:pPr>
      <w:pStyle w:val="Zpat"/>
      <w:rPr>
        <w:b/>
        <w:noProof/>
      </w:rPr>
    </w:pPr>
    <w:r>
      <w:rPr>
        <w:b/>
        <w:bCs/>
        <w:noProof/>
      </w:rPr>
      <w:t>www.upol.cz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B7D" w:rsidRDefault="00527B7D" w:rsidP="00F15613">
      <w:pPr>
        <w:spacing w:line="240" w:lineRule="auto"/>
      </w:pPr>
      <w:r>
        <w:separator/>
      </w:r>
    </w:p>
  </w:footnote>
  <w:footnote w:type="continuationSeparator" w:id="0">
    <w:p w:rsidR="00527B7D" w:rsidRDefault="00527B7D" w:rsidP="00F156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EEB" w:rsidRDefault="00334EE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EEB" w:rsidRDefault="00334EE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613" w:rsidRDefault="00A64191">
    <w:pPr>
      <w:pStyle w:val="Zhlav"/>
    </w:pPr>
    <w:r>
      <w:rPr>
        <w:noProof/>
        <w:lang w:eastAsia="cs-CZ"/>
      </w:rPr>
      <w:drawing>
        <wp:anchor distT="0" distB="0" distL="114300" distR="114300" simplePos="0" relativeHeight="251657728" behindDoc="1" locked="0" layoutInCell="1" allowOverlap="1">
          <wp:simplePos x="0" y="0"/>
          <wp:positionH relativeFrom="column">
            <wp:posOffset>295275</wp:posOffset>
          </wp:positionH>
          <wp:positionV relativeFrom="paragraph">
            <wp:posOffset>1778000</wp:posOffset>
          </wp:positionV>
          <wp:extent cx="1087120" cy="154940"/>
          <wp:effectExtent l="0" t="0" r="0" b="0"/>
          <wp:wrapNone/>
          <wp:docPr id="2177"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7120" cy="1549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8752" behindDoc="0" locked="1" layoutInCell="1" allowOverlap="1">
          <wp:simplePos x="0" y="0"/>
          <wp:positionH relativeFrom="page">
            <wp:posOffset>6906260</wp:posOffset>
          </wp:positionH>
          <wp:positionV relativeFrom="page">
            <wp:posOffset>533400</wp:posOffset>
          </wp:positionV>
          <wp:extent cx="289560" cy="1983105"/>
          <wp:effectExtent l="0" t="0" r="0" b="0"/>
          <wp:wrapNone/>
          <wp:docPr id="2178" name="Obrázek 2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9560" cy="19831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cs-CZ"/>
      </w:rPr>
      <w:drawing>
        <wp:anchor distT="720090" distB="720090" distL="114300" distR="114300" simplePos="0" relativeHeight="251656704" behindDoc="0" locked="1" layoutInCell="1" allowOverlap="1">
          <wp:simplePos x="0" y="0"/>
          <wp:positionH relativeFrom="page">
            <wp:posOffset>742315</wp:posOffset>
          </wp:positionH>
          <wp:positionV relativeFrom="page">
            <wp:posOffset>1159510</wp:posOffset>
          </wp:positionV>
          <wp:extent cx="2559050" cy="711835"/>
          <wp:effectExtent l="0" t="0" r="0" b="0"/>
          <wp:wrapTopAndBottom/>
          <wp:docPr id="2179"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59050" cy="7118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24C"/>
    <w:rsid w:val="00022FD0"/>
    <w:rsid w:val="00025FBF"/>
    <w:rsid w:val="00056A06"/>
    <w:rsid w:val="00057139"/>
    <w:rsid w:val="00062265"/>
    <w:rsid w:val="0007026C"/>
    <w:rsid w:val="00074881"/>
    <w:rsid w:val="00086685"/>
    <w:rsid w:val="00090955"/>
    <w:rsid w:val="0009582B"/>
    <w:rsid w:val="000A1F60"/>
    <w:rsid w:val="000B788D"/>
    <w:rsid w:val="000B797C"/>
    <w:rsid w:val="000D6CF0"/>
    <w:rsid w:val="000F0D39"/>
    <w:rsid w:val="0010566D"/>
    <w:rsid w:val="0011512C"/>
    <w:rsid w:val="001E7947"/>
    <w:rsid w:val="002004C5"/>
    <w:rsid w:val="00207E2F"/>
    <w:rsid w:val="00242BCC"/>
    <w:rsid w:val="00264AF6"/>
    <w:rsid w:val="00276D6B"/>
    <w:rsid w:val="002E3612"/>
    <w:rsid w:val="00334EEB"/>
    <w:rsid w:val="0036478A"/>
    <w:rsid w:val="00377FF3"/>
    <w:rsid w:val="003A5856"/>
    <w:rsid w:val="003B3941"/>
    <w:rsid w:val="003D6AFA"/>
    <w:rsid w:val="004012C6"/>
    <w:rsid w:val="00427EF9"/>
    <w:rsid w:val="00430F25"/>
    <w:rsid w:val="0043182A"/>
    <w:rsid w:val="00466727"/>
    <w:rsid w:val="00486300"/>
    <w:rsid w:val="004B1204"/>
    <w:rsid w:val="004D171B"/>
    <w:rsid w:val="004D7636"/>
    <w:rsid w:val="004E4F8B"/>
    <w:rsid w:val="00502BEF"/>
    <w:rsid w:val="00527B7D"/>
    <w:rsid w:val="00540537"/>
    <w:rsid w:val="0058158A"/>
    <w:rsid w:val="005A4E59"/>
    <w:rsid w:val="005D1CE4"/>
    <w:rsid w:val="005E1665"/>
    <w:rsid w:val="005E387A"/>
    <w:rsid w:val="00604AB8"/>
    <w:rsid w:val="0067128B"/>
    <w:rsid w:val="00674ED6"/>
    <w:rsid w:val="00675248"/>
    <w:rsid w:val="00680944"/>
    <w:rsid w:val="00687CFE"/>
    <w:rsid w:val="006A5931"/>
    <w:rsid w:val="006B09DC"/>
    <w:rsid w:val="006B22CE"/>
    <w:rsid w:val="006B61F1"/>
    <w:rsid w:val="006C03B8"/>
    <w:rsid w:val="006C3AFE"/>
    <w:rsid w:val="006D50C7"/>
    <w:rsid w:val="006E3956"/>
    <w:rsid w:val="00702C0D"/>
    <w:rsid w:val="0070626D"/>
    <w:rsid w:val="00711FA4"/>
    <w:rsid w:val="007173B3"/>
    <w:rsid w:val="00741445"/>
    <w:rsid w:val="007B24DA"/>
    <w:rsid w:val="007B2B0C"/>
    <w:rsid w:val="007C6C87"/>
    <w:rsid w:val="007D7C65"/>
    <w:rsid w:val="007E575F"/>
    <w:rsid w:val="007F6FCC"/>
    <w:rsid w:val="0085350D"/>
    <w:rsid w:val="00862C56"/>
    <w:rsid w:val="00884A7F"/>
    <w:rsid w:val="008B1205"/>
    <w:rsid w:val="008D35BF"/>
    <w:rsid w:val="008E27A7"/>
    <w:rsid w:val="008E6A8F"/>
    <w:rsid w:val="00904AED"/>
    <w:rsid w:val="00932459"/>
    <w:rsid w:val="00935054"/>
    <w:rsid w:val="0094509D"/>
    <w:rsid w:val="00953E22"/>
    <w:rsid w:val="009554FB"/>
    <w:rsid w:val="00990090"/>
    <w:rsid w:val="009A1F4D"/>
    <w:rsid w:val="009E629B"/>
    <w:rsid w:val="009F3F9F"/>
    <w:rsid w:val="009F5EE6"/>
    <w:rsid w:val="00A04911"/>
    <w:rsid w:val="00A2224C"/>
    <w:rsid w:val="00A3107A"/>
    <w:rsid w:val="00A5561A"/>
    <w:rsid w:val="00A64191"/>
    <w:rsid w:val="00A94093"/>
    <w:rsid w:val="00A9725F"/>
    <w:rsid w:val="00AB33EA"/>
    <w:rsid w:val="00AC100C"/>
    <w:rsid w:val="00AC61B6"/>
    <w:rsid w:val="00B05F83"/>
    <w:rsid w:val="00B15CD8"/>
    <w:rsid w:val="00B45240"/>
    <w:rsid w:val="00B52638"/>
    <w:rsid w:val="00B52715"/>
    <w:rsid w:val="00B53882"/>
    <w:rsid w:val="00B600FE"/>
    <w:rsid w:val="00B73FD1"/>
    <w:rsid w:val="00BD04D6"/>
    <w:rsid w:val="00BD35C2"/>
    <w:rsid w:val="00BE1819"/>
    <w:rsid w:val="00BF49AF"/>
    <w:rsid w:val="00C03A61"/>
    <w:rsid w:val="00C154E8"/>
    <w:rsid w:val="00C1798A"/>
    <w:rsid w:val="00C404C1"/>
    <w:rsid w:val="00C634AA"/>
    <w:rsid w:val="00C6493E"/>
    <w:rsid w:val="00C93E24"/>
    <w:rsid w:val="00CE7B57"/>
    <w:rsid w:val="00CF3D18"/>
    <w:rsid w:val="00D13E57"/>
    <w:rsid w:val="00D21CB0"/>
    <w:rsid w:val="00D30DF1"/>
    <w:rsid w:val="00D4326B"/>
    <w:rsid w:val="00D561AE"/>
    <w:rsid w:val="00D61B91"/>
    <w:rsid w:val="00D62385"/>
    <w:rsid w:val="00D955E7"/>
    <w:rsid w:val="00DC28CA"/>
    <w:rsid w:val="00DC5FA7"/>
    <w:rsid w:val="00DE39B0"/>
    <w:rsid w:val="00E6471D"/>
    <w:rsid w:val="00E94D63"/>
    <w:rsid w:val="00E97744"/>
    <w:rsid w:val="00EC252D"/>
    <w:rsid w:val="00EC41DF"/>
    <w:rsid w:val="00F0078F"/>
    <w:rsid w:val="00F013D0"/>
    <w:rsid w:val="00F045B7"/>
    <w:rsid w:val="00F15613"/>
    <w:rsid w:val="00F2543B"/>
    <w:rsid w:val="00F66276"/>
    <w:rsid w:val="00F77778"/>
    <w:rsid w:val="00F81C25"/>
    <w:rsid w:val="00FB21A4"/>
    <w:rsid w:val="00FB2E70"/>
    <w:rsid w:val="00FC118A"/>
    <w:rsid w:val="00FE02FD"/>
    <w:rsid w:val="00FE0A25"/>
    <w:rsid w:val="00FF35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5EC06E-7F87-48D3-8D4C-A53B008D7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základní"/>
    <w:qFormat/>
    <w:rsid w:val="0043182A"/>
    <w:pPr>
      <w:spacing w:after="160" w:line="259" w:lineRule="auto"/>
    </w:pPr>
    <w:rPr>
      <w:rFonts w:asciiTheme="minorHAnsi" w:eastAsiaTheme="minorHAnsi" w:hAnsiTheme="minorHAnsi" w:cstheme="minorBidi"/>
      <w:sz w:val="22"/>
      <w:szCs w:val="22"/>
      <w:lang w:eastAsia="en-US"/>
    </w:rPr>
  </w:style>
  <w:style w:type="paragraph" w:styleId="Nadpis1">
    <w:name w:val="heading 1"/>
    <w:basedOn w:val="Normln"/>
    <w:next w:val="Normln"/>
    <w:link w:val="Nadpis1Char"/>
    <w:uiPriority w:val="1"/>
    <w:qFormat/>
    <w:rsid w:val="000F0D39"/>
    <w:pPr>
      <w:keepNext/>
      <w:keepLines/>
      <w:spacing w:before="240" w:after="120" w:line="300" w:lineRule="atLeast"/>
      <w:contextualSpacing/>
      <w:jc w:val="both"/>
      <w:outlineLvl w:val="0"/>
    </w:pPr>
    <w:rPr>
      <w:rFonts w:ascii="Arial" w:eastAsia="Times New Roman" w:hAnsi="Arial" w:cs="Times New Roman"/>
      <w:b/>
      <w:sz w:val="24"/>
      <w:szCs w:val="32"/>
    </w:rPr>
  </w:style>
  <w:style w:type="paragraph" w:styleId="Nadpis2">
    <w:name w:val="heading 2"/>
    <w:basedOn w:val="Nadpis1"/>
    <w:next w:val="Normln"/>
    <w:link w:val="Nadpis2Char"/>
    <w:uiPriority w:val="1"/>
    <w:qFormat/>
    <w:rsid w:val="000F0D39"/>
    <w:pPr>
      <w:spacing w:before="40"/>
      <w:outlineLvl w:val="1"/>
    </w:pPr>
    <w:rPr>
      <w:sz w:val="22"/>
      <w:szCs w:val="26"/>
    </w:rPr>
  </w:style>
  <w:style w:type="paragraph" w:styleId="Nadpis3">
    <w:name w:val="heading 3"/>
    <w:basedOn w:val="Nadpis1"/>
    <w:next w:val="Normln"/>
    <w:link w:val="Nadpis3Char"/>
    <w:uiPriority w:val="9"/>
    <w:semiHidden/>
    <w:rsid w:val="00BF49AF"/>
    <w:pPr>
      <w:spacing w:before="40"/>
      <w:outlineLvl w:val="2"/>
    </w:pPr>
    <w:rPr>
      <w:sz w:val="22"/>
      <w:szCs w:val="24"/>
    </w:rPr>
  </w:style>
  <w:style w:type="paragraph" w:styleId="Nadpis4">
    <w:name w:val="heading 4"/>
    <w:basedOn w:val="Normln"/>
    <w:next w:val="Normln"/>
    <w:link w:val="Nadpis4Char"/>
    <w:uiPriority w:val="9"/>
    <w:semiHidden/>
    <w:qFormat/>
    <w:rsid w:val="005E387A"/>
    <w:pPr>
      <w:keepNext/>
      <w:keepLines/>
      <w:spacing w:before="40" w:after="120" w:line="250" w:lineRule="exact"/>
      <w:contextualSpacing/>
      <w:jc w:val="both"/>
      <w:outlineLvl w:val="3"/>
    </w:pPr>
    <w:rPr>
      <w:rFonts w:ascii="Times New Roman" w:eastAsia="Times New Roman" w:hAnsi="Times New Roman" w:cs="Times New Roman"/>
      <w:i/>
      <w:iCs/>
      <w:color w:val="4F4C4D"/>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1"/>
    <w:rsid w:val="00862C56"/>
    <w:rPr>
      <w:rFonts w:ascii="Arial" w:eastAsia="Times New Roman" w:hAnsi="Arial" w:cs="Times New Roman"/>
      <w:b/>
      <w:sz w:val="24"/>
      <w:szCs w:val="32"/>
    </w:rPr>
  </w:style>
  <w:style w:type="paragraph" w:styleId="Zhlav">
    <w:name w:val="header"/>
    <w:basedOn w:val="Normln"/>
    <w:link w:val="ZhlavChar"/>
    <w:uiPriority w:val="99"/>
    <w:rsid w:val="00C6493E"/>
    <w:pPr>
      <w:tabs>
        <w:tab w:val="center" w:pos="4536"/>
        <w:tab w:val="right" w:pos="9072"/>
      </w:tabs>
      <w:spacing w:after="120" w:line="240" w:lineRule="auto"/>
      <w:contextualSpacing/>
      <w:jc w:val="both"/>
    </w:pPr>
    <w:rPr>
      <w:rFonts w:ascii="Times New Roman" w:eastAsia="Calibri" w:hAnsi="Times New Roman" w:cs="Times New Roman"/>
      <w:sz w:val="24"/>
    </w:rPr>
  </w:style>
  <w:style w:type="character" w:customStyle="1" w:styleId="ZhlavChar">
    <w:name w:val="Záhlaví Char"/>
    <w:link w:val="Zhlav"/>
    <w:uiPriority w:val="99"/>
    <w:rsid w:val="00BF49AF"/>
    <w:rPr>
      <w:rFonts w:ascii="Times New Roman" w:hAnsi="Times New Roman"/>
      <w:sz w:val="24"/>
    </w:rPr>
  </w:style>
  <w:style w:type="paragraph" w:styleId="Zpat">
    <w:name w:val="footer"/>
    <w:basedOn w:val="Normln"/>
    <w:link w:val="ZpatChar"/>
    <w:uiPriority w:val="99"/>
    <w:rsid w:val="000F0D39"/>
    <w:pPr>
      <w:tabs>
        <w:tab w:val="center" w:pos="4536"/>
        <w:tab w:val="right" w:pos="9072"/>
      </w:tabs>
      <w:spacing w:after="0" w:line="200" w:lineRule="exact"/>
      <w:contextualSpacing/>
      <w:jc w:val="both"/>
    </w:pPr>
    <w:rPr>
      <w:rFonts w:ascii="Arial" w:eastAsia="Calibri" w:hAnsi="Arial" w:cs="Times New Roman"/>
      <w:color w:val="4F4C4D"/>
      <w:sz w:val="16"/>
    </w:rPr>
  </w:style>
  <w:style w:type="character" w:customStyle="1" w:styleId="ZpatChar">
    <w:name w:val="Zápatí Char"/>
    <w:link w:val="Zpat"/>
    <w:uiPriority w:val="99"/>
    <w:rsid w:val="00862C56"/>
    <w:rPr>
      <w:rFonts w:ascii="Arial" w:hAnsi="Arial"/>
      <w:color w:val="4F4C4D"/>
      <w:sz w:val="16"/>
    </w:rPr>
  </w:style>
  <w:style w:type="character" w:customStyle="1" w:styleId="Nadpis2Char">
    <w:name w:val="Nadpis 2 Char"/>
    <w:link w:val="Nadpis2"/>
    <w:uiPriority w:val="1"/>
    <w:rsid w:val="00862C56"/>
    <w:rPr>
      <w:rFonts w:ascii="Arial" w:eastAsia="Times New Roman" w:hAnsi="Arial" w:cs="Times New Roman"/>
      <w:b/>
      <w:szCs w:val="26"/>
    </w:rPr>
  </w:style>
  <w:style w:type="character" w:customStyle="1" w:styleId="Nadpis3Char">
    <w:name w:val="Nadpis 3 Char"/>
    <w:link w:val="Nadpis3"/>
    <w:uiPriority w:val="9"/>
    <w:semiHidden/>
    <w:rsid w:val="000F0D39"/>
    <w:rPr>
      <w:rFonts w:ascii="Georgia" w:eastAsia="Times New Roman" w:hAnsi="Georgia" w:cs="Times New Roman"/>
      <w:b/>
      <w:szCs w:val="24"/>
    </w:rPr>
  </w:style>
  <w:style w:type="character" w:customStyle="1" w:styleId="Nadpis4Char">
    <w:name w:val="Nadpis 4 Char"/>
    <w:link w:val="Nadpis4"/>
    <w:uiPriority w:val="9"/>
    <w:semiHidden/>
    <w:rsid w:val="00BF49AF"/>
    <w:rPr>
      <w:rFonts w:ascii="Times New Roman" w:eastAsia="Times New Roman" w:hAnsi="Times New Roman" w:cs="Times New Roman"/>
      <w:i/>
      <w:iCs/>
      <w:color w:val="4F4C4D"/>
      <w:sz w:val="24"/>
    </w:rPr>
  </w:style>
  <w:style w:type="paragraph" w:styleId="Nzev">
    <w:name w:val="Title"/>
    <w:basedOn w:val="Normln"/>
    <w:next w:val="Normln"/>
    <w:link w:val="NzevChar"/>
    <w:uiPriority w:val="10"/>
    <w:semiHidden/>
    <w:qFormat/>
    <w:rsid w:val="005E387A"/>
    <w:pPr>
      <w:spacing w:after="120" w:line="240" w:lineRule="auto"/>
      <w:contextualSpacing/>
      <w:jc w:val="both"/>
    </w:pPr>
    <w:rPr>
      <w:rFonts w:ascii="Times New Roman" w:eastAsia="Times New Roman" w:hAnsi="Times New Roman" w:cs="Times New Roman"/>
      <w:spacing w:val="-10"/>
      <w:kern w:val="28"/>
      <w:sz w:val="56"/>
      <w:szCs w:val="56"/>
    </w:rPr>
  </w:style>
  <w:style w:type="character" w:customStyle="1" w:styleId="NzevChar">
    <w:name w:val="Název Char"/>
    <w:link w:val="Nzev"/>
    <w:uiPriority w:val="10"/>
    <w:semiHidden/>
    <w:rsid w:val="00BF49AF"/>
    <w:rPr>
      <w:rFonts w:ascii="Times New Roman" w:eastAsia="Times New Roman" w:hAnsi="Times New Roman" w:cs="Times New Roman"/>
      <w:spacing w:val="-10"/>
      <w:kern w:val="28"/>
      <w:sz w:val="56"/>
      <w:szCs w:val="56"/>
    </w:rPr>
  </w:style>
  <w:style w:type="paragraph" w:styleId="Podnadpis">
    <w:name w:val="Subtitle"/>
    <w:basedOn w:val="Normln"/>
    <w:next w:val="Normln"/>
    <w:link w:val="PodnadpisChar"/>
    <w:uiPriority w:val="11"/>
    <w:semiHidden/>
    <w:qFormat/>
    <w:rsid w:val="005E387A"/>
    <w:pPr>
      <w:numPr>
        <w:ilvl w:val="1"/>
      </w:numPr>
      <w:spacing w:line="250" w:lineRule="exact"/>
      <w:contextualSpacing/>
    </w:pPr>
    <w:rPr>
      <w:rFonts w:eastAsia="Times New Roman"/>
      <w:color w:val="4F4C4D"/>
      <w:spacing w:val="15"/>
      <w:sz w:val="20"/>
    </w:rPr>
  </w:style>
  <w:style w:type="character" w:customStyle="1" w:styleId="PodnadpisChar">
    <w:name w:val="Podnadpis Char"/>
    <w:link w:val="Podnadpis"/>
    <w:uiPriority w:val="11"/>
    <w:semiHidden/>
    <w:rsid w:val="00BF49AF"/>
    <w:rPr>
      <w:rFonts w:ascii="Times New Roman" w:eastAsia="Times New Roman" w:hAnsi="Times New Roman"/>
      <w:color w:val="4F4C4D"/>
      <w:spacing w:val="15"/>
    </w:rPr>
  </w:style>
  <w:style w:type="paragraph" w:styleId="Normlnweb">
    <w:name w:val="Normal (Web)"/>
    <w:basedOn w:val="Normln"/>
    <w:uiPriority w:val="99"/>
    <w:rsid w:val="00D62385"/>
    <w:pPr>
      <w:spacing w:before="100" w:beforeAutospacing="1" w:after="100" w:afterAutospacing="1" w:line="240" w:lineRule="auto"/>
      <w:contextualSpacing/>
      <w:jc w:val="both"/>
    </w:pPr>
    <w:rPr>
      <w:rFonts w:ascii="Arial" w:eastAsia="Times New Roman" w:hAnsi="Arial" w:cs="Times New Roman"/>
      <w:sz w:val="20"/>
      <w:szCs w:val="24"/>
      <w:lang w:eastAsia="cs-CZ"/>
    </w:rPr>
  </w:style>
  <w:style w:type="character" w:customStyle="1" w:styleId="apple-converted-space">
    <w:name w:val="apple-converted-space"/>
    <w:basedOn w:val="Standardnpsmoodstavce"/>
    <w:rsid w:val="009554FB"/>
  </w:style>
  <w:style w:type="paragraph" w:customStyle="1" w:styleId="zkladntun">
    <w:name w:val="základní tučně"/>
    <w:basedOn w:val="Normln"/>
    <w:qFormat/>
    <w:rsid w:val="00702C0D"/>
    <w:pPr>
      <w:spacing w:after="120" w:line="250" w:lineRule="exact"/>
      <w:contextualSpacing/>
      <w:jc w:val="both"/>
    </w:pPr>
    <w:rPr>
      <w:rFonts w:ascii="Arial" w:eastAsia="Times New Roman" w:hAnsi="Arial" w:cs="Arial"/>
      <w:b/>
      <w:bCs/>
      <w:color w:val="444444"/>
      <w:sz w:val="20"/>
      <w:szCs w:val="21"/>
      <w:lang w:eastAsia="cs-CZ"/>
    </w:rPr>
  </w:style>
  <w:style w:type="character" w:styleId="Hypertextovodkaz">
    <w:name w:val="Hyperlink"/>
    <w:uiPriority w:val="99"/>
    <w:unhideWhenUsed/>
    <w:rsid w:val="006B09DC"/>
    <w:rPr>
      <w:color w:val="004B94"/>
      <w:u w:val="single"/>
    </w:rPr>
  </w:style>
  <w:style w:type="character" w:styleId="slostrnky">
    <w:name w:val="page number"/>
    <w:basedOn w:val="Standardnpsmoodstavce"/>
    <w:uiPriority w:val="99"/>
    <w:unhideWhenUsed/>
    <w:rsid w:val="00CF3D18"/>
  </w:style>
  <w:style w:type="paragraph" w:styleId="Textbubliny">
    <w:name w:val="Balloon Text"/>
    <w:basedOn w:val="Normln"/>
    <w:link w:val="TextbublinyChar"/>
    <w:uiPriority w:val="99"/>
    <w:semiHidden/>
    <w:rsid w:val="006C03B8"/>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6C03B8"/>
    <w:rPr>
      <w:rFonts w:ascii="Tahoma" w:hAnsi="Tahoma" w:cs="Tahoma"/>
      <w:sz w:val="16"/>
      <w:szCs w:val="16"/>
    </w:rPr>
  </w:style>
  <w:style w:type="paragraph" w:customStyle="1" w:styleId="Standard">
    <w:name w:val="Standard"/>
    <w:uiPriority w:val="99"/>
    <w:rsid w:val="00A2224C"/>
    <w:pPr>
      <w:suppressAutoHyphens/>
      <w:autoSpaceDN w:val="0"/>
      <w:textAlignment w:val="baseline"/>
    </w:pPr>
    <w:rPr>
      <w:rFonts w:ascii="Liberation Serif" w:eastAsia="NSimSun" w:hAnsi="Liberation Serif" w:cs="Liberation Serif"/>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67913">
      <w:bodyDiv w:val="1"/>
      <w:marLeft w:val="0"/>
      <w:marRight w:val="0"/>
      <w:marTop w:val="0"/>
      <w:marBottom w:val="0"/>
      <w:divBdr>
        <w:top w:val="none" w:sz="0" w:space="0" w:color="auto"/>
        <w:left w:val="none" w:sz="0" w:space="0" w:color="auto"/>
        <w:bottom w:val="none" w:sz="0" w:space="0" w:color="auto"/>
        <w:right w:val="none" w:sz="0" w:space="0" w:color="auto"/>
      </w:divBdr>
    </w:div>
    <w:div w:id="448279017">
      <w:bodyDiv w:val="1"/>
      <w:marLeft w:val="0"/>
      <w:marRight w:val="0"/>
      <w:marTop w:val="0"/>
      <w:marBottom w:val="0"/>
      <w:divBdr>
        <w:top w:val="none" w:sz="0" w:space="0" w:color="auto"/>
        <w:left w:val="none" w:sz="0" w:space="0" w:color="auto"/>
        <w:bottom w:val="none" w:sz="0" w:space="0" w:color="auto"/>
        <w:right w:val="none" w:sz="0" w:space="0" w:color="auto"/>
      </w:divBdr>
    </w:div>
    <w:div w:id="585697164">
      <w:bodyDiv w:val="1"/>
      <w:marLeft w:val="0"/>
      <w:marRight w:val="0"/>
      <w:marTop w:val="0"/>
      <w:marBottom w:val="0"/>
      <w:divBdr>
        <w:top w:val="none" w:sz="0" w:space="0" w:color="auto"/>
        <w:left w:val="none" w:sz="0" w:space="0" w:color="auto"/>
        <w:bottom w:val="none" w:sz="0" w:space="0" w:color="auto"/>
        <w:right w:val="none" w:sz="0" w:space="0" w:color="auto"/>
      </w:divBdr>
    </w:div>
    <w:div w:id="923952538">
      <w:bodyDiv w:val="1"/>
      <w:marLeft w:val="0"/>
      <w:marRight w:val="0"/>
      <w:marTop w:val="0"/>
      <w:marBottom w:val="0"/>
      <w:divBdr>
        <w:top w:val="none" w:sz="0" w:space="0" w:color="auto"/>
        <w:left w:val="none" w:sz="0" w:space="0" w:color="auto"/>
        <w:bottom w:val="none" w:sz="0" w:space="0" w:color="auto"/>
        <w:right w:val="none" w:sz="0" w:space="0" w:color="auto"/>
      </w:divBdr>
    </w:div>
    <w:div w:id="970597083">
      <w:bodyDiv w:val="1"/>
      <w:marLeft w:val="0"/>
      <w:marRight w:val="0"/>
      <w:marTop w:val="0"/>
      <w:marBottom w:val="0"/>
      <w:divBdr>
        <w:top w:val="none" w:sz="0" w:space="0" w:color="auto"/>
        <w:left w:val="none" w:sz="0" w:space="0" w:color="auto"/>
        <w:bottom w:val="none" w:sz="0" w:space="0" w:color="auto"/>
        <w:right w:val="none" w:sz="0" w:space="0" w:color="auto"/>
      </w:divBdr>
    </w:div>
    <w:div w:id="970987554">
      <w:bodyDiv w:val="1"/>
      <w:marLeft w:val="0"/>
      <w:marRight w:val="0"/>
      <w:marTop w:val="0"/>
      <w:marBottom w:val="0"/>
      <w:divBdr>
        <w:top w:val="none" w:sz="0" w:space="0" w:color="auto"/>
        <w:left w:val="none" w:sz="0" w:space="0" w:color="auto"/>
        <w:bottom w:val="none" w:sz="0" w:space="0" w:color="auto"/>
        <w:right w:val="none" w:sz="0" w:space="0" w:color="auto"/>
      </w:divBdr>
    </w:div>
    <w:div w:id="999230864">
      <w:bodyDiv w:val="1"/>
      <w:marLeft w:val="0"/>
      <w:marRight w:val="0"/>
      <w:marTop w:val="0"/>
      <w:marBottom w:val="0"/>
      <w:divBdr>
        <w:top w:val="none" w:sz="0" w:space="0" w:color="auto"/>
        <w:left w:val="none" w:sz="0" w:space="0" w:color="auto"/>
        <w:bottom w:val="none" w:sz="0" w:space="0" w:color="auto"/>
        <w:right w:val="none" w:sz="0" w:space="0" w:color="auto"/>
      </w:divBdr>
    </w:div>
    <w:div w:id="1027875248">
      <w:bodyDiv w:val="1"/>
      <w:marLeft w:val="0"/>
      <w:marRight w:val="0"/>
      <w:marTop w:val="0"/>
      <w:marBottom w:val="0"/>
      <w:divBdr>
        <w:top w:val="none" w:sz="0" w:space="0" w:color="auto"/>
        <w:left w:val="none" w:sz="0" w:space="0" w:color="auto"/>
        <w:bottom w:val="none" w:sz="0" w:space="0" w:color="auto"/>
        <w:right w:val="none" w:sz="0" w:space="0" w:color="auto"/>
      </w:divBdr>
    </w:div>
    <w:div w:id="1407872096">
      <w:bodyDiv w:val="1"/>
      <w:marLeft w:val="0"/>
      <w:marRight w:val="0"/>
      <w:marTop w:val="0"/>
      <w:marBottom w:val="0"/>
      <w:divBdr>
        <w:top w:val="none" w:sz="0" w:space="0" w:color="auto"/>
        <w:left w:val="none" w:sz="0" w:space="0" w:color="auto"/>
        <w:bottom w:val="none" w:sz="0" w:space="0" w:color="auto"/>
        <w:right w:val="none" w:sz="0" w:space="0" w:color="auto"/>
      </w:divBdr>
    </w:div>
    <w:div w:id="1441562570">
      <w:bodyDiv w:val="1"/>
      <w:marLeft w:val="0"/>
      <w:marRight w:val="0"/>
      <w:marTop w:val="0"/>
      <w:marBottom w:val="0"/>
      <w:divBdr>
        <w:top w:val="none" w:sz="0" w:space="0" w:color="auto"/>
        <w:left w:val="none" w:sz="0" w:space="0" w:color="auto"/>
        <w:bottom w:val="none" w:sz="0" w:space="0" w:color="auto"/>
        <w:right w:val="none" w:sz="0" w:space="0" w:color="auto"/>
      </w:divBdr>
    </w:div>
    <w:div w:id="1562518103">
      <w:bodyDiv w:val="1"/>
      <w:marLeft w:val="0"/>
      <w:marRight w:val="0"/>
      <w:marTop w:val="0"/>
      <w:marBottom w:val="0"/>
      <w:divBdr>
        <w:top w:val="none" w:sz="0" w:space="0" w:color="auto"/>
        <w:left w:val="none" w:sz="0" w:space="0" w:color="auto"/>
        <w:bottom w:val="none" w:sz="0" w:space="0" w:color="auto"/>
        <w:right w:val="none" w:sz="0" w:space="0" w:color="auto"/>
      </w:divBdr>
    </w:div>
    <w:div w:id="190259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rka.chovancova@upol.cz"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ovancs\Documents\&#353;ablona_TZ_pln&#225;_2015-09-07.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šablona_TZ_plná_2015-09-07.dotx</Template>
  <TotalTime>1</TotalTime>
  <Pages>2</Pages>
  <Words>553</Words>
  <Characters>3266</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Univerzita Palackého v Olomouci</Company>
  <LinksUpToDate>false</LinksUpToDate>
  <CharactersWithSpaces>3812</CharactersWithSpaces>
  <SharedDoc>false</SharedDoc>
  <HLinks>
    <vt:vector size="12" baseType="variant">
      <vt:variant>
        <vt:i4>6488089</vt:i4>
      </vt:variant>
      <vt:variant>
        <vt:i4>3</vt:i4>
      </vt:variant>
      <vt:variant>
        <vt:i4>0</vt:i4>
      </vt:variant>
      <vt:variant>
        <vt:i4>5</vt:i4>
      </vt:variant>
      <vt:variant>
        <vt:lpwstr>mailto:blanka.krausova@upol.cz</vt:lpwstr>
      </vt:variant>
      <vt:variant>
        <vt:lpwstr/>
      </vt:variant>
      <vt:variant>
        <vt:i4>7864381</vt:i4>
      </vt:variant>
      <vt:variant>
        <vt:i4>0</vt:i4>
      </vt:variant>
      <vt:variant>
        <vt:i4>0</vt:i4>
      </vt:variant>
      <vt:variant>
        <vt:i4>5</vt:i4>
      </vt:variant>
      <vt:variant>
        <vt:lpwstr>http://www.pevnost.poznani.cz/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Šárka Chovancová</dc:creator>
  <cp:lastModifiedBy>Šárka Chovancová</cp:lastModifiedBy>
  <cp:revision>2</cp:revision>
  <cp:lastPrinted>2014-08-14T10:08:00Z</cp:lastPrinted>
  <dcterms:created xsi:type="dcterms:W3CDTF">2020-04-15T09:06:00Z</dcterms:created>
  <dcterms:modified xsi:type="dcterms:W3CDTF">2020-04-15T09:06:00Z</dcterms:modified>
</cp:coreProperties>
</file>