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Fonts w:cs="Arial" w:ascii="Arial" w:hAnsi="Arial"/>
          <w:b/>
          <w:sz w:val="32"/>
          <w:szCs w:val="32"/>
          <w:lang w:val="cs-CZ"/>
        </w:rPr>
        <w:t xml:space="preserve">Minimální </w:t>
      </w:r>
      <w:r>
        <w:rPr>
          <w:rFonts w:cs="Arial" w:ascii="Arial" w:hAnsi="Arial"/>
          <w:b/>
          <w:sz w:val="32"/>
          <w:szCs w:val="32"/>
          <w:lang w:val="cs-CZ"/>
        </w:rPr>
        <w:t xml:space="preserve">nepodkročitelné </w:t>
      </w:r>
      <w:r>
        <w:rPr>
          <w:rFonts w:cs="Arial" w:ascii="Arial" w:hAnsi="Arial"/>
          <w:b/>
          <w:sz w:val="32"/>
          <w:szCs w:val="32"/>
          <w:lang w:val="cs-CZ"/>
        </w:rPr>
        <w:t xml:space="preserve">požadavky PřF UP pro technickou dohodu o vzniku VŠ </w:t>
      </w:r>
      <w:r>
        <w:rPr>
          <w:rFonts w:cs="Arial" w:ascii="Arial" w:hAnsi="Arial"/>
          <w:b/>
          <w:sz w:val="32"/>
          <w:szCs w:val="32"/>
          <w:lang w:val="cs-CZ"/>
        </w:rPr>
        <w:t>ú</w:t>
      </w:r>
      <w:r>
        <w:rPr>
          <w:rFonts w:cs="Arial" w:ascii="Arial" w:hAnsi="Arial"/>
          <w:b/>
          <w:sz w:val="32"/>
          <w:szCs w:val="32"/>
          <w:lang w:val="cs-CZ"/>
        </w:rPr>
        <w:t>stavu</w:t>
      </w:r>
    </w:p>
    <w:p>
      <w:pPr>
        <w:pStyle w:val="Normal"/>
        <w:spacing w:lineRule="auto" w:line="240" w:before="0" w:after="0"/>
        <w:jc w:val="both"/>
        <w:rPr>
          <w:rFonts w:ascii="Arial" w:hAnsi="Arial" w:cs="Arial"/>
          <w:lang w:val="cs-CZ"/>
        </w:rPr>
      </w:pPr>
      <w:r>
        <w:rPr>
          <w:rFonts w:cs="Arial" w:ascii="Arial" w:hAnsi="Arial"/>
          <w:lang w:val="cs-CZ"/>
        </w:rPr>
        <w:t>(před projednáním v AS PřF a s odbory, po těchto jednáních mohou být požadavky upraveny)</w:t>
      </w:r>
    </w:p>
    <w:p>
      <w:pPr>
        <w:pStyle w:val="Normal"/>
        <w:spacing w:lineRule="auto" w:line="240" w:before="0" w:after="0"/>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Organizace fakulty a CIST</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RCPTM a CRH se transformují do VŠ Ústavu (CIST) a nadále nebudou organizovány jako samostatné jednotky PřF UPOL. Současně dojde k adekvátní změně Statutu PřF UP.</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Současná oddělení CRH a RCPTM center buď přejdou do VŠ ústavu, nebo splynou se stávajícími katedrami nebo smluvními pracovišti PřF UP nebo vznikne(-ou) nová(é) katedra(-y).</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 xml:space="preserve">Změna pracovního zařazení stávajících zaměstnanců PřF UP do CIST bude v souladu se zákoníkem práce založena dohodou o změně pracovního poměru na základě svobodného informovaného souhlasu každého zaměstnance. </w:t>
      </w:r>
      <w:commentRangeStart w:id="0"/>
      <w:r>
        <w:rPr>
          <w:rFonts w:cs="Arial" w:ascii="Arial" w:hAnsi="Arial"/>
          <w:lang w:val="cs-CZ"/>
        </w:rPr>
        <w:t>Za zaměstnance CIST se považují ti pracovníci, kteří tuto dohodu uzavřou</w:t>
      </w:r>
      <w:r>
        <w:rPr>
          <w:rFonts w:cs="Arial" w:ascii="Arial" w:hAnsi="Arial"/>
          <w:lang w:val="cs-CZ"/>
        </w:rPr>
      </w:r>
      <w:commentRangeEnd w:id="0"/>
      <w:r>
        <w:commentReference w:id="0"/>
      </w:r>
      <w:r>
        <w:rPr>
          <w:rFonts w:cs="Arial" w:ascii="Arial" w:hAnsi="Arial"/>
          <w:lang w:val="cs-CZ"/>
        </w:rPr>
        <w:t>. Za zaměstnance PřF se považují pro účely této dohody ti, kteří v rámci UP mají uzavřenou pracovní smlouvu výhradně na PřF UP.</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Zaměstnanci CIST nebudou členy akademické obce PřF.</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Vzhledem k tomu, že některé mechanismy dělení souvisí s počtem zaměstnanců přecházejících do CIST, dojde k vyčíslení některých položek, až budou tato čísla známa na základě informovaného rozhodnutí pracovníků stávajících center.</w:t>
      </w:r>
    </w:p>
    <w:p>
      <w:pPr>
        <w:pStyle w:val="Normal"/>
        <w:spacing w:lineRule="auto" w:line="240" w:before="0" w:after="0"/>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Projekty</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 xml:space="preserve">Stávající projekty budou vedeny na té součásti VŠ, na které bude zaměstnán hlavní řešitel. </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Při vzniku CIST zůstanou všichni členové týmu zapojeni do řešení těchto projektů ve stávajícím rozsahu, bez ohledu na to, zda jsou zaměstnanci PřF UP nebo CIST, tzn., že zaměstnanci PřF, kteří jsou členy řešitelských týmů projektů, které přejdou pod CIST, se nadále budou podílet na jejich řešení a zaměstnanci, kteří přejdou do CIST, se zavazují pokračovat v práci na projektech, které zůstanou na PřF.</w:t>
      </w:r>
    </w:p>
    <w:p>
      <w:pPr>
        <w:pStyle w:val="Normal"/>
        <w:spacing w:lineRule="auto" w:line="240" w:before="0" w:after="0"/>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Garance studijních programů a alokace zdroje /11</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 xml:space="preserve">Garanty studijních programů akreditovaných na PřF UP budou výhradně zaměstnanci PřF UP. </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Příspěvek MŠMT na vzdělávací a vědeckou a výzkumnou, vývojovou a inovační, uměleckou nebo další tvůrčí činnost VŠ dle § 18 odst. 3 zákona č. 111/1998 Sb. (zdroj /11) je a bude u všech studijních programů garantovaných na PřF UP výhradním příjmem PřF UP. Finanční vyrovnání za výuku pracovníků CIST na PřF UP bude řešeno individuálními dohodami mezi PřF UP a CIST (garantujícími katedrami PřF UP a pracovníky CIST).</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Studenti DSP akreditovaných na PřF UP během svého studia vykazují na všech svých publikacích vykazovaných v rámci PGS afiliaci (nikoli nutně výhradní) k PřF UP.</w:t>
      </w:r>
    </w:p>
    <w:p>
      <w:pPr>
        <w:pStyle w:val="Normal"/>
        <w:spacing w:lineRule="auto" w:line="240" w:before="0" w:after="0"/>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Dělení institucionální podpory z RVO</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Institucionální podpora (IP) z RVO na základě výsledků z let minulých (před vznikem CIST) bude alokována podle příslušnosti každého jednotlivého zaměstnance, buď k PřF, nebo k CIST. Pro nastavení počáteční hodnoty bude aplikována stejná metodika, jako je tomu při dělení mezi fakulty UP.</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Prostředky z RVO z let minulých vykázané bývalými pracovníky CRH a RCPTM (těmi, kteří ukončili pracovní poměr na PřF UP před vznikem CIST) připadnou v plné výši PřF UP.</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Budoucí výkaznictví výsledků RIV do OBD bude řešeno podle příslušnosti zaměstnance buď k PřF UP, nebo k CIST.</w:t>
      </w:r>
    </w:p>
    <w:p>
      <w:pPr>
        <w:pStyle w:val="Normal"/>
        <w:spacing w:lineRule="auto" w:line="240" w:before="0" w:after="0"/>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Přístrojové vybavení</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PřF UP souhlasí s převodem stávajícího přístrojového vybavení PřF UP do CIST pouze v těch případech, kdy všichni pracovníci konkrétního nákladového střediska CRH nebo RCPTM přejdou jako zaměstnanci do CIST. Pokud část pracovníků střediska zůstane na PřF UP, bude alokace přístrojového vybavení řešena dohodou mezi zástupci CRH, RCPTM a PřF UP, schválenou děkanem PřF UP.</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Do CIST nelze převádět přístroje, které byly pořízeny z projektů ESF/ERDF a dalších projektů na podporu výuky a vzdělávání.</w:t>
      </w:r>
    </w:p>
    <w:p>
      <w:pPr>
        <w:pStyle w:val="Normal"/>
        <w:spacing w:lineRule="auto" w:line="240" w:before="0" w:after="0"/>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Fondy</w:t>
      </w:r>
    </w:p>
    <w:p>
      <w:pPr>
        <w:pStyle w:val="ListParagraph"/>
        <w:numPr>
          <w:ilvl w:val="0"/>
          <w:numId w:val="2"/>
        </w:numPr>
        <w:spacing w:lineRule="auto" w:line="240" w:before="0" w:after="0"/>
        <w:ind w:left="426" w:hanging="426"/>
        <w:jc w:val="both"/>
        <w:rPr>
          <w:rFonts w:ascii="Arial" w:hAnsi="Arial" w:cs="Arial"/>
          <w:lang w:val="cs-CZ"/>
        </w:rPr>
      </w:pPr>
      <w:r>
        <w:rPr>
          <w:rFonts w:cs="Arial" w:ascii="Arial" w:hAnsi="Arial"/>
          <w:lang w:val="cs-CZ"/>
        </w:rPr>
        <w:t>Fondy FPP, FPP HV a FRIM budou rozděleny dohodou mezi vedoucími stávajících nákladových středisek. Pokud nedojde k dohodě, budou tyto fondy rozděleny podle poměru zaměstnanců PřF UP / CIST.</w:t>
      </w:r>
    </w:p>
    <w:p>
      <w:pPr>
        <w:pStyle w:val="ListParagraph"/>
        <w:numPr>
          <w:ilvl w:val="0"/>
          <w:numId w:val="2"/>
        </w:numPr>
        <w:spacing w:lineRule="auto" w:line="240" w:before="0" w:after="0"/>
        <w:ind w:left="426" w:hanging="426"/>
        <w:jc w:val="both"/>
        <w:rPr>
          <w:rFonts w:ascii="Arial" w:hAnsi="Arial" w:cs="Arial"/>
          <w:lang w:val="cs-CZ"/>
        </w:rPr>
      </w:pPr>
      <w:r>
        <w:rPr>
          <w:rFonts w:cs="Arial" w:ascii="Arial" w:hAnsi="Arial"/>
          <w:lang w:val="cs-CZ"/>
        </w:rPr>
        <w:t>FKSP PřF UP bude rozdělen podle kmenové příslušnosti k PřF UP a CIST.</w:t>
      </w:r>
    </w:p>
    <w:p>
      <w:pPr>
        <w:pStyle w:val="Normal"/>
        <w:spacing w:lineRule="auto" w:line="240" w:before="0" w:after="0"/>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Budovy</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Plánovaná budova F1 bude ve výhradním užívání PřF UP, její výstavba bude financována z ISPROFINu a dofinancování z prostředků RUP.</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Plánovaná budova stavěná za přispění UOCHB bude ve výhradním užívání CIST.</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V přechodném období od vzniku CIST do okamžiku kolaudace budovy F1 zůstanou stávající budovy RCPTM a CRH (budovy F2, G a H) v majetku PřF UP s věcným břemenem pronájmů pracovištím CIST.</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V okamžiku vzniku budovy F1 bude na základě dohody mezi PřF UP a CIST rozhodnuto o užívání zmíněných budov F2, G, H, s ohledem na počet zaměstnanců PřF UP a CIST v okamžiku dělení, ale tak, aby všichni zaměstnanci PřF UP pracovali v budovách PřF UP</w:t>
      </w:r>
      <w:bookmarkStart w:id="0" w:name="_GoBack"/>
      <w:bookmarkEnd w:id="0"/>
      <w:r>
        <w:rPr>
          <w:rFonts w:cs="Arial" w:ascii="Arial" w:hAnsi="Arial"/>
          <w:lang w:val="cs-CZ"/>
        </w:rPr>
        <w:t xml:space="preserve">. </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S ohledem na údržbu, reinvestice a provoz budov je cílem rozdělení budov mezi obě součásti UP, nikoli jejich sdílené užívání.</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Bude zachován současný rozsah užívání. Náklady na užívání budou sdíleny oběma součástmi PřF a CIST podle skutečných provozních nákladů nebo podlahové plochy.</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Správu budov a celého areálu Holice bude zajišťovat PřF UP. CIST se bude podílet na nákladech na správu budov podle poměru podlahové plochy v každé konkrétní budově ve společném užívání.</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CIST se bude podílet na nákladech na správu společných prostor areálu v Holici podle poměru užívání podlahové plochy v součtu všech budov v areálu Holice.</w:t>
      </w:r>
    </w:p>
    <w:p>
      <w:pPr>
        <w:pStyle w:val="ListParagraph"/>
        <w:numPr>
          <w:ilvl w:val="0"/>
          <w:numId w:val="3"/>
        </w:numPr>
        <w:spacing w:lineRule="auto" w:line="240" w:before="0" w:after="0"/>
        <w:ind w:left="426" w:hanging="426"/>
        <w:jc w:val="both"/>
        <w:rPr>
          <w:rFonts w:ascii="Arial" w:hAnsi="Arial" w:cs="Arial"/>
          <w:lang w:val="cs-CZ"/>
        </w:rPr>
      </w:pPr>
      <w:r>
        <w:rPr>
          <w:rFonts w:cs="Arial" w:ascii="Arial" w:hAnsi="Arial"/>
          <w:lang w:val="cs-CZ"/>
        </w:rPr>
        <w:t>Zaměstnancům obou součástí UP bude umožněno využití veškeré stávající infrastruktury v nezměněném rozsahu a nezávisle na zaměstnaneckém poměru v CIST, nebo na PřF UP.</w:t>
      </w:r>
    </w:p>
    <w:p>
      <w:pPr>
        <w:pStyle w:val="Normal"/>
        <w:spacing w:lineRule="auto" w:line="240" w:before="0" w:after="0"/>
        <w:ind w:left="426" w:hanging="426"/>
        <w:jc w:val="both"/>
        <w:rPr>
          <w:rFonts w:ascii="Arial" w:hAnsi="Arial" w:cs="Arial"/>
          <w:lang w:val="cs-CZ"/>
        </w:rPr>
      </w:pPr>
      <w:r>
        <w:rPr>
          <w:rFonts w:cs="Arial" w:ascii="Arial" w:hAnsi="Arial"/>
          <w:lang w:val="cs-CZ"/>
        </w:rPr>
      </w:r>
    </w:p>
    <w:p>
      <w:pPr>
        <w:pStyle w:val="Normal"/>
        <w:spacing w:lineRule="auto" w:line="240" w:before="0" w:after="0"/>
        <w:jc w:val="both"/>
        <w:rPr>
          <w:rFonts w:ascii="Arial" w:hAnsi="Arial" w:cs="Arial"/>
          <w:b/>
          <w:b/>
          <w:lang w:val="cs-CZ"/>
        </w:rPr>
      </w:pPr>
      <w:r>
        <w:rPr>
          <w:rFonts w:cs="Arial" w:ascii="Arial" w:hAnsi="Arial"/>
          <w:b/>
          <w:lang w:val="cs-CZ"/>
        </w:rPr>
        <w:t>Vnitřní dluh PřF UP a vracení investičních pobídek z minulých let</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PřF UP je zatížena investičními závazky za stavební akce  v areálu Holice a v Pevnosti poznání ve výši 83 mil. Kč. Tento “vnitřní dluh” se rozdělí mezi CIST a PřF UP v poměru počtu zaměstnanců CIST / PřF UP.</w:t>
      </w:r>
    </w:p>
    <w:p>
      <w:pPr>
        <w:pStyle w:val="ListParagraph"/>
        <w:numPr>
          <w:ilvl w:val="0"/>
          <w:numId w:val="1"/>
        </w:numPr>
        <w:spacing w:lineRule="auto" w:line="240" w:before="0" w:after="0"/>
        <w:ind w:left="426" w:hanging="426"/>
        <w:jc w:val="both"/>
        <w:rPr>
          <w:rFonts w:ascii="Arial" w:hAnsi="Arial" w:cs="Arial"/>
          <w:lang w:val="cs-CZ"/>
        </w:rPr>
      </w:pPr>
      <w:r>
        <w:rPr>
          <w:rFonts w:cs="Arial" w:ascii="Arial" w:hAnsi="Arial"/>
          <w:lang w:val="cs-CZ"/>
        </w:rPr>
        <w:t xml:space="preserve">PřF UP požaduje buď jednorázovou kompenzaci minulých výdajů ve výši 77 mil. Kč, nebo kompenzaci ve výpadku příjmů ve výši 130,7 mil. Kč rozloženou do 5 let. </w:t>
      </w:r>
    </w:p>
    <w:p>
      <w:pPr>
        <w:pStyle w:val="Normal"/>
        <w:spacing w:lineRule="auto" w:line="240" w:before="0" w:after="0"/>
        <w:ind w:left="426" w:hanging="426"/>
        <w:jc w:val="both"/>
        <w:rPr>
          <w:rFonts w:ascii="Arial" w:hAnsi="Arial" w:cs="Arial"/>
          <w:lang w:val="cs-CZ"/>
        </w:rPr>
      </w:pPr>
      <w:r>
        <w:rPr>
          <w:rFonts w:cs="Arial" w:ascii="Arial" w:hAnsi="Arial"/>
          <w:lang w:val="cs-CZ"/>
        </w:rPr>
      </w:r>
    </w:p>
    <w:p>
      <w:pPr>
        <w:pStyle w:val="Normal"/>
        <w:spacing w:lineRule="auto" w:line="240" w:before="0" w:after="0"/>
        <w:rPr/>
      </w:pPr>
      <w:r>
        <w:rPr>
          <w:rFonts w:cs="Arial" w:ascii="Arial" w:hAnsi="Arial"/>
          <w:lang w:val="cs-CZ"/>
        </w:rPr>
        <w:t>V Olomouci, 3. 9. 2019</w:t>
      </w:r>
    </w:p>
    <w:p>
      <w:pPr>
        <w:pStyle w:val="Normal"/>
        <w:spacing w:lineRule="auto" w:line="240" w:before="0" w:after="0"/>
        <w:rPr/>
      </w:pPr>
      <w:r>
        <w:rPr>
          <w:rFonts w:cs="Arial" w:ascii="Arial" w:hAnsi="Arial"/>
          <w:lang w:val="cs-CZ"/>
        </w:rPr>
        <w:t>změna názvu 16. 9. 2019</w:t>
      </w:r>
    </w:p>
    <w:p>
      <w:pPr>
        <w:pStyle w:val="Normal"/>
        <w:spacing w:lineRule="auto" w:line="240" w:before="0" w:after="0"/>
        <w:rPr>
          <w:rFonts w:ascii="Arial" w:hAnsi="Arial" w:cs="Arial"/>
          <w:lang w:val="cs-CZ"/>
        </w:rPr>
      </w:pPr>
      <w:r>
        <w:rPr>
          <w:rFonts w:cs="Arial" w:ascii="Arial" w:hAnsi="Arial"/>
          <w:lang w:val="cs-CZ"/>
        </w:rPr>
        <w:t xml:space="preserve"> </w:t>
      </w:r>
    </w:p>
    <w:p>
      <w:pPr>
        <w:pStyle w:val="Normal"/>
        <w:spacing w:lineRule="auto" w:line="240" w:before="0" w:after="0"/>
        <w:rPr>
          <w:rFonts w:ascii="Arial" w:hAnsi="Arial" w:cs="Arial"/>
          <w:lang w:val="cs-CZ"/>
        </w:rPr>
      </w:pPr>
      <w:r>
        <w:rPr>
          <w:rFonts w:cs="Arial" w:ascii="Arial" w:hAnsi="Arial"/>
          <w:lang w:val="cs-CZ"/>
        </w:rPr>
        <w:t>Doc. RNDr. Martin Kubala, Ph.D.</w:t>
      </w:r>
    </w:p>
    <w:p>
      <w:pPr>
        <w:pStyle w:val="Normal"/>
        <w:spacing w:lineRule="auto" w:line="240" w:before="0" w:after="0"/>
        <w:rPr/>
      </w:pPr>
      <w:r>
        <w:rPr>
          <w:rFonts w:cs="Arial" w:ascii="Arial" w:hAnsi="Arial"/>
          <w:lang w:val="cs-CZ"/>
        </w:rPr>
        <w:t>Děkan PřF UP</w:t>
      </w:r>
    </w:p>
    <w:sectPr>
      <w:type w:val="nextPage"/>
      <w:pgSz w:w="12240" w:h="15840"/>
      <w:pgMar w:left="1417" w:right="1417" w:header="0" w:top="1417" w:footer="0" w:bottom="1417"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9-08-29T17:55:00Z" w:initials=":::">
    <w:p>
      <w:r>
        <w:rPr>
          <w:rFonts w:ascii="Liberation Serif" w:hAnsi="Liberation Serif" w:eastAsia="DejaVu Sans" w:cs="DejaVu Sans"/>
          <w:color w:val="auto"/>
          <w:sz w:val="24"/>
          <w:szCs w:val="24"/>
          <w:lang w:val="en-US" w:eastAsia="en-US" w:bidi="en-US"/>
        </w:rPr>
        <w:t>Alterntiva k pojmu “kmenová příslušnost”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Nadpis1">
    <w:name w:val="Heading 1"/>
    <w:basedOn w:val="Normal"/>
    <w:link w:val="Nadpis1Char"/>
    <w:uiPriority w:val="9"/>
    <w:qFormat/>
    <w:rsid w:val="009f0f61"/>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54c68"/>
    <w:rPr>
      <w:sz w:val="16"/>
      <w:szCs w:val="16"/>
    </w:rPr>
  </w:style>
  <w:style w:type="character" w:styleId="TextkomenteChar" w:customStyle="1">
    <w:name w:val="Text komentáře Char"/>
    <w:basedOn w:val="DefaultParagraphFont"/>
    <w:link w:val="Textkomente"/>
    <w:uiPriority w:val="99"/>
    <w:qFormat/>
    <w:rsid w:val="00e54c68"/>
    <w:rPr>
      <w:sz w:val="20"/>
      <w:szCs w:val="20"/>
    </w:rPr>
  </w:style>
  <w:style w:type="character" w:styleId="PedmtkomenteChar" w:customStyle="1">
    <w:name w:val="Předmět komentáře Char"/>
    <w:basedOn w:val="TextkomenteChar"/>
    <w:link w:val="Pedmtkomente"/>
    <w:uiPriority w:val="99"/>
    <w:semiHidden/>
    <w:qFormat/>
    <w:rsid w:val="00e54c68"/>
    <w:rPr>
      <w:b/>
      <w:bCs/>
      <w:sz w:val="20"/>
      <w:szCs w:val="20"/>
    </w:rPr>
  </w:style>
  <w:style w:type="character" w:styleId="TextbublinyChar" w:customStyle="1">
    <w:name w:val="Text bubliny Char"/>
    <w:basedOn w:val="DefaultParagraphFont"/>
    <w:link w:val="Textbubliny"/>
    <w:uiPriority w:val="99"/>
    <w:semiHidden/>
    <w:qFormat/>
    <w:rsid w:val="00e54c68"/>
    <w:rPr>
      <w:rFonts w:ascii="Tahoma" w:hAnsi="Tahoma" w:cs="Tahoma"/>
      <w:sz w:val="16"/>
      <w:szCs w:val="16"/>
    </w:rPr>
  </w:style>
  <w:style w:type="character" w:styleId="Nadpis1Char" w:customStyle="1">
    <w:name w:val="Nadpis 1 Char"/>
    <w:basedOn w:val="DefaultParagraphFont"/>
    <w:link w:val="Nadpis1"/>
    <w:uiPriority w:val="9"/>
    <w:qFormat/>
    <w:rsid w:val="009f0f61"/>
    <w:rPr>
      <w:rFonts w:ascii="Cambria" w:hAnsi="Cambria" w:eastAsia="" w:cs="" w:asciiTheme="majorHAnsi" w:cstheme="majorBidi" w:eastAsiaTheme="majorEastAsia" w:hAnsiTheme="majorHAnsi"/>
      <w:color w:val="365F91"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Calibri"/>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Arial" w:hAnsi="Arial"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paragraph" w:styleId="Nadpis">
    <w:name w:val="Nadpis"/>
    <w:basedOn w:val="Normal"/>
    <w:next w:val="Tlotextu"/>
    <w:qFormat/>
    <w:pPr>
      <w:keepNext/>
      <w:spacing w:before="240" w:after="120"/>
    </w:pPr>
    <w:rPr>
      <w:rFonts w:ascii="Liberation Sans" w:hAnsi="Liberation Sans" w:eastAsia="WenQuanYi Micro Hei" w:cs="Lohit Devanagari"/>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ListParagraph">
    <w:name w:val="List Paragraph"/>
    <w:basedOn w:val="Normal"/>
    <w:uiPriority w:val="34"/>
    <w:qFormat/>
    <w:rsid w:val="00e54c68"/>
    <w:pPr>
      <w:spacing w:before="0" w:after="200"/>
      <w:ind w:left="720" w:hanging="0"/>
      <w:contextualSpacing/>
    </w:pPr>
    <w:rPr/>
  </w:style>
  <w:style w:type="paragraph" w:styleId="Annotationtext">
    <w:name w:val="annotation text"/>
    <w:basedOn w:val="Normal"/>
    <w:link w:val="TextkomenteChar"/>
    <w:uiPriority w:val="99"/>
    <w:unhideWhenUsed/>
    <w:qFormat/>
    <w:rsid w:val="00e54c68"/>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e54c68"/>
    <w:pPr/>
    <w:rPr>
      <w:b/>
      <w:bCs/>
    </w:rPr>
  </w:style>
  <w:style w:type="paragraph" w:styleId="BalloonText">
    <w:name w:val="Balloon Text"/>
    <w:basedOn w:val="Normal"/>
    <w:link w:val="TextbublinyChar"/>
    <w:uiPriority w:val="99"/>
    <w:semiHidden/>
    <w:unhideWhenUsed/>
    <w:qFormat/>
    <w:rsid w:val="00e54c68"/>
    <w:pPr>
      <w:spacing w:lineRule="auto" w:line="240" w:before="0" w:after="0"/>
    </w:pPr>
    <w:rPr>
      <w:rFonts w:ascii="Tahoma" w:hAnsi="Tahoma" w:cs="Tahoma"/>
      <w:sz w:val="16"/>
      <w:szCs w:val="16"/>
    </w:rPr>
  </w:style>
  <w:style w:type="paragraph" w:styleId="TOCHeading">
    <w:name w:val="TOC Heading"/>
    <w:basedOn w:val="Nadpis1"/>
    <w:uiPriority w:val="39"/>
    <w:unhideWhenUsed/>
    <w:qFormat/>
    <w:rsid w:val="009f0f61"/>
    <w:pPr>
      <w:spacing w:lineRule="auto" w:line="259"/>
    </w:pPr>
    <w:rPr>
      <w:lang w:val="cs-CZ"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14DF-4CEF-4A5A-A010-E1DC9CC7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LibreOffice/5.1.6.2$Linux_X86_64 LibreOffice_project/10m0$Build-2</Application>
  <Pages>2</Pages>
  <Words>940</Words>
  <Characters>4906</Characters>
  <CharactersWithSpaces>5782</CharactersWithSpaces>
  <Paragraphs>43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2019-08-30T13:58:00Z</dcterms:created>
  <dc:creator>Ondra</dc:creator>
  <dc:description/>
  <dc:language>en-US</dc:language>
  <cp:lastModifiedBy/>
  <dcterms:modified xsi:type="dcterms:W3CDTF">2019-09-17T16:29:47Z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