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after="400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Z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á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m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ě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r studijn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í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ho programu P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ří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rodov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ě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de-DE"/>
        </w:rPr>
        <w:t>deck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fr-FR"/>
        </w:rPr>
        <w:t xml:space="preserve">é 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  <w:t>fakulty UP</w:t>
      </w:r>
    </w:p>
    <w:tbl>
      <w:tblPr>
        <w:tblW w:w="821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8210"/>
      </w:tblGrid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d6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I: N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zev oblasti vzd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l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v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n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í</w:t>
            </w:r>
          </w:p>
        </w:tc>
      </w:tr>
      <w:tr>
        <w:tblPrEx>
          <w:shd w:val="clear" w:color="auto" w:fill="d0ddef"/>
        </w:tblPrEx>
        <w:trPr>
          <w:trHeight w:val="49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nl-NL"/>
              </w:rPr>
              <w:t>Chemie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d6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de-DE"/>
              </w:rPr>
              <w:t>II: Z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kladn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tematick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 xml:space="preserve">ý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okruh</w:t>
            </w:r>
          </w:p>
        </w:tc>
      </w:tr>
      <w:tr>
        <w:tblPrEx>
          <w:shd w:val="clear" w:color="auto" w:fill="d0ddef"/>
        </w:tblPrEx>
        <w:trPr>
          <w:trHeight w:val="49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Chemie 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ů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, Fyzik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chemie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d6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III: N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zev studijn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ho programu, forma studia, jazyk studia</w:t>
            </w:r>
          </w:p>
        </w:tc>
      </w:tr>
      <w:tr>
        <w:tblPrEx>
          <w:shd w:val="clear" w:color="auto" w:fill="d0ddef"/>
        </w:tblPrEx>
        <w:trPr>
          <w:trHeight w:val="73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lef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á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chemie, navazuj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magistersk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ý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studijn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program, prezen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č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forma, jazyk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č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esk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d6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IV: Garant studijn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ho programu</w:t>
            </w:r>
          </w:p>
        </w:tc>
      </w:tr>
      <w:tr>
        <w:tblPrEx>
          <w:shd w:val="clear" w:color="auto" w:fill="d0ddef"/>
        </w:tblPrEx>
        <w:trPr>
          <w:trHeight w:val="49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List Paragraph"/>
              <w:spacing w:after="0" w:line="240" w:lineRule="auto"/>
              <w:ind w:left="0" w:firstLine="0"/>
              <w:jc w:val="lef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doc. RNDr. Ale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š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áč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ek, Ph.D.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d6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V: Uplatn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n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es-ES_tradnl"/>
              </w:rPr>
              <w:t>absolventa</w:t>
            </w:r>
          </w:p>
        </w:tc>
      </w:tr>
      <w:tr>
        <w:tblPrEx>
          <w:shd w:val="clear" w:color="auto" w:fill="d0ddef"/>
        </w:tblPrEx>
        <w:trPr>
          <w:trHeight w:val="457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rPr>
                <w:rFonts w:ascii="Calibri" w:cs="Calibri" w:hAnsi="Calibri" w:eastAsia="Calibri"/>
                <w:sz w:val="22"/>
                <w:szCs w:val="22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Absolvent studijn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ho magistersk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ho programu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á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chemie je kvalifikov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 v oboru 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á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chemie se zam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 na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ly. Absolvent je pln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ě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ipraven pro samostatnou pr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ci ve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voji,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zkumu, pr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ů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myslov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praxi a ve zku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ebn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a analytick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laborato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zam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 na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ly. Z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rove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ň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je p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ipraven i pro dal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ší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zvy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kvalifikace v 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mci doktorsk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ho studia v oblastech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chemie. Z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skan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znalosti mohou absolventi tohoto studijn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ho oboru uplatnit v maxim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e v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irok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oblasti profes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, kde je vy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ž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adov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no odborn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vzd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na vysoko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kolsk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é ú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rovni orientovan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na fyzik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ě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z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klady analytick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a syntetick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chemick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proces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ů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 oblasti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ů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a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technologi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. Absolventi naleznou uplatn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ve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ech oborech, vyu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ží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vaj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fyzik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ě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metody ve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zkumu,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rob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ě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a aplikac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ů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 chemick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m, farmaceutick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 a potravin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sk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pt-PT"/>
              </w:rPr>
              <w:t>m pr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ů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myslu, v kontroln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a pr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ů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myslov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laborato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i ve zku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ebnictv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, ale rovn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ěž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i ve zdravotnictv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a zem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d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lstv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.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uka vybran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p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edm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ů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 angli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č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tin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ě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tak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posiluje mo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ž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nosti uplatn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pt-PT"/>
              </w:rPr>
              <w:t>absolvent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ů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na trhu pr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ce.</w:t>
            </w:r>
          </w:p>
          <w:p>
            <w:pPr>
              <w:pStyle w:val="Default"/>
              <w:rPr>
                <w:rFonts w:ascii="Calibri" w:cs="Calibri" w:hAnsi="Calibri" w:eastAsia="Calibri"/>
                <w:sz w:val="22"/>
                <w:szCs w:val="22"/>
              </w:rPr>
            </w:pPr>
          </w:p>
          <w:p>
            <w:pPr>
              <w:pStyle w:val="Default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>Nejedn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á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en-US"/>
              </w:rPr>
              <w:t xml:space="preserve">se o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regulovan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povol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.</w:t>
            </w:r>
          </w:p>
        </w:tc>
      </w:tr>
      <w:tr>
        <w:tblPrEx>
          <w:shd w:val="clear" w:color="auto" w:fill="d0ddef"/>
        </w:tblPrEx>
        <w:trPr>
          <w:trHeight w:val="25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dd6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  <w:jc w:val="left"/>
            </w:pP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VI: C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  <w:lang w:val="it-IT"/>
              </w:rPr>
              <w:t>le studia</w:t>
            </w:r>
          </w:p>
        </w:tc>
      </w:tr>
      <w:tr>
        <w:tblPrEx>
          <w:shd w:val="clear" w:color="auto" w:fill="d0ddef"/>
        </w:tblPrEx>
        <w:trPr>
          <w:trHeight w:val="3370" w:hRule="atLeast"/>
        </w:trPr>
        <w:tc>
          <w:tcPr>
            <w:tcW w:type="dxa" w:w="82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pacing w:after="0" w:line="24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Magistersk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ý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dvoulet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ý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studijn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program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á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chemie si klade za c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 p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ipravit vysoko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kolsky vzd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odborn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ky s dobr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mi znalosti z oblasti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chemie, schopn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aplikovat poznatky v z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kladn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 a aplikovan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zkumu, ale i ve vybran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technologick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oblastech. Studium je zam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eno nejen na d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ů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kladnou teoretickou p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ipravenost absolventa pro oblast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ho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zkumu, ale i na pos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len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jeho schopnost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d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nl-NL"/>
              </w:rPr>
              <w:t>t z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skan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teoretick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znalosti do praxe, kter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by m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nl-NL"/>
              </w:rPr>
              <w:t>l z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skat zejm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na ve specializovan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cvi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č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ch, v 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mci diplomov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ce a rovn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ěž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tak b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de-DE"/>
              </w:rPr>
              <w:t>hem exkurz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 pr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ů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myslov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podnic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a specializovan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laborato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ch, zab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vaj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se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mi technologiemi. Absolvent tohoto magistersk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ho dvoulet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ho studijn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ho programu tak mimo pot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ebn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ý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ehled p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de-DE"/>
              </w:rPr>
              <w:t>es z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kladn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chemick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a fyzik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discipl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ny z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sk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á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 sou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č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asnosti vysoce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žá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danou odbornou specializaci v oboru s dlouhodob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ě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zniv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vojem souvisej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 s mimo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řá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dn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ý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 rozmachem nanotechnologi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í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de-DE"/>
              </w:rPr>
              <w:t>a modern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í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ch nanomateri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á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 xml:space="preserve">ů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ve 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ě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de-DE"/>
              </w:rPr>
              <w:t>deck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i pr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ů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myslov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</w:rPr>
              <w:t>praxi.</w:t>
            </w:r>
          </w:p>
        </w:tc>
      </w:tr>
    </w:tbl>
    <w:p>
      <w:pPr>
        <w:pStyle w:val="Body"/>
        <w:widowControl w:val="0"/>
        <w:spacing w:after="400" w:line="240" w:lineRule="auto"/>
      </w:pPr>
      <w:r>
        <w:rPr>
          <w:rFonts w:ascii="Calibri" w:cs="Calibri" w:hAnsi="Calibri" w:eastAsia="Calibri"/>
          <w:b w:val="1"/>
          <w:bCs w:val="1"/>
          <w:sz w:val="28"/>
          <w:szCs w:val="28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34" w:right="1418" w:bottom="1843" w:left="2268" w:header="709" w:footer="85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194"/>
        <w:tab w:val="clear" w:pos="9072"/>
      </w:tabs>
      <w:spacing w:line="240" w:lineRule="exact"/>
    </w:pPr>
    <w:r>
      <w:rPr>
        <w:rtl w:val="0"/>
      </w:rPr>
      <w:t>P</w:t>
    </w:r>
    <w:r>
      <w:rPr>
        <w:rtl w:val="0"/>
      </w:rPr>
      <w:t>ří</w:t>
    </w:r>
    <w:r>
      <w:rPr>
        <w:rtl w:val="0"/>
      </w:rPr>
      <w:t>rodov</w:t>
    </w:r>
    <w:r>
      <w:rPr>
        <w:rtl w:val="0"/>
      </w:rPr>
      <w:t>ě</w:t>
    </w:r>
    <w:r>
      <w:rPr>
        <w:rtl w:val="0"/>
        <w:lang w:val="de-DE"/>
      </w:rPr>
      <w:t>deck</w:t>
    </w:r>
    <w:r>
      <w:rPr>
        <w:rtl w:val="0"/>
      </w:rPr>
      <w:t xml:space="preserve">á </w:t>
    </w:r>
    <w:r>
      <w:rPr>
        <w:rtl w:val="0"/>
      </w:rPr>
      <w:t>fakulta Univerzity Palack</w:t>
    </w:r>
    <w:r>
      <w:rPr>
        <w:rtl w:val="0"/>
        <w:lang w:val="fr-FR"/>
      </w:rPr>
      <w:t>é</w:t>
    </w:r>
    <w:r>
      <w:rPr>
        <w:rtl w:val="0"/>
      </w:rPr>
      <w:t>ho v</w:t>
    </w:r>
    <w:r>
      <w:rPr>
        <w:rtl w:val="0"/>
      </w:rPr>
      <w:t> </w:t>
    </w:r>
    <w:r>
      <w:rPr>
        <w:rtl w:val="0"/>
      </w:rPr>
      <w:t>Olomouci</w:t>
    </w:r>
  </w:p>
  <w:p>
    <w:pPr>
      <w:pStyle w:val="footer"/>
      <w:tabs>
        <w:tab w:val="right" w:pos="8194"/>
        <w:tab w:val="clear" w:pos="9072"/>
      </w:tabs>
      <w:spacing w:line="240" w:lineRule="exact"/>
    </w:pPr>
    <w:r>
      <w:rPr>
        <w:rtl w:val="0"/>
      </w:rPr>
      <w:t>17. listopadu1192/12 | 771 46 Olomouc | T: 585</w:t>
    </w:r>
    <w:r>
      <w:rPr>
        <w:rtl w:val="0"/>
      </w:rPr>
      <w:t> </w:t>
    </w:r>
    <w:r>
      <w:rPr>
        <w:rtl w:val="0"/>
      </w:rPr>
      <w:t>634 060</w:t>
    </w:r>
  </w:p>
  <w:p>
    <w:pPr>
      <w:pStyle w:val="footer"/>
      <w:tabs>
        <w:tab w:val="right" w:pos="8194"/>
        <w:tab w:val="clear" w:pos="9072"/>
      </w:tabs>
      <w:spacing w:line="240" w:lineRule="exact"/>
    </w:pPr>
    <w:r>
      <w:rPr>
        <w:b w:val="1"/>
        <w:bCs w:val="1"/>
        <w:rtl w:val="0"/>
      </w:rPr>
      <w:t>www.prf.upol.cz</w:t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194"/>
        <w:tab w:val="clear" w:pos="9072"/>
      </w:tabs>
      <w:spacing w:line="240" w:lineRule="exact"/>
    </w:pPr>
    <w:r>
      <w:rPr>
        <w:rtl w:val="0"/>
      </w:rPr>
      <w:t>P</w:t>
    </w:r>
    <w:r>
      <w:rPr>
        <w:rtl w:val="0"/>
      </w:rPr>
      <w:t>ří</w:t>
    </w:r>
    <w:r>
      <w:rPr>
        <w:rtl w:val="0"/>
      </w:rPr>
      <w:t>rodov</w:t>
    </w:r>
    <w:r>
      <w:rPr>
        <w:rtl w:val="0"/>
      </w:rPr>
      <w:t>ě</w:t>
    </w:r>
    <w:r>
      <w:rPr>
        <w:rtl w:val="0"/>
        <w:lang w:val="de-DE"/>
      </w:rPr>
      <w:t>deck</w:t>
    </w:r>
    <w:r>
      <w:rPr>
        <w:rtl w:val="0"/>
      </w:rPr>
      <w:t xml:space="preserve">á </w:t>
    </w:r>
    <w:r>
      <w:rPr>
        <w:rtl w:val="0"/>
      </w:rPr>
      <w:t>fakulta Univerzity Palack</w:t>
    </w:r>
    <w:r>
      <w:rPr>
        <w:rtl w:val="0"/>
        <w:lang w:val="fr-FR"/>
      </w:rPr>
      <w:t>é</w:t>
    </w:r>
    <w:r>
      <w:rPr>
        <w:rtl w:val="0"/>
      </w:rPr>
      <w:t>ho v</w:t>
    </w:r>
    <w:r>
      <w:rPr>
        <w:rtl w:val="0"/>
      </w:rPr>
      <w:t> </w:t>
    </w:r>
    <w:r>
      <w:rPr>
        <w:rtl w:val="0"/>
      </w:rPr>
      <w:t>Olomouci</w:t>
    </w:r>
  </w:p>
  <w:p>
    <w:pPr>
      <w:pStyle w:val="footer"/>
      <w:tabs>
        <w:tab w:val="right" w:pos="8194"/>
        <w:tab w:val="clear" w:pos="9072"/>
      </w:tabs>
      <w:spacing w:line="240" w:lineRule="exact"/>
    </w:pPr>
    <w:r>
      <w:rPr>
        <w:rtl w:val="0"/>
      </w:rPr>
      <w:t>17. listopadu 1192/12 | 771 46 Olomouc | T: 585</w:t>
    </w:r>
    <w:r>
      <w:rPr>
        <w:rtl w:val="0"/>
      </w:rPr>
      <w:t> </w:t>
    </w:r>
    <w:r>
      <w:rPr>
        <w:rtl w:val="0"/>
      </w:rPr>
      <w:t>634 060</w:t>
    </w:r>
  </w:p>
  <w:p>
    <w:pPr>
      <w:pStyle w:val="footer"/>
      <w:tabs>
        <w:tab w:val="right" w:pos="8194"/>
        <w:tab w:val="clear" w:pos="9072"/>
      </w:tabs>
      <w:spacing w:line="240" w:lineRule="exact"/>
    </w:pPr>
    <w:r>
      <w:rPr>
        <w:b w:val="1"/>
        <w:bCs w:val="1"/>
        <w:rtl w:val="0"/>
      </w:rPr>
      <w:t>www.prf.upol.cz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194"/>
        <w:tab w:val="clear" w:pos="9072"/>
      </w:tabs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768350</wp:posOffset>
          </wp:positionH>
          <wp:positionV relativeFrom="page">
            <wp:posOffset>1361439</wp:posOffset>
          </wp:positionV>
          <wp:extent cx="1965961" cy="719456"/>
          <wp:effectExtent l="0" t="0" r="0" b="0"/>
          <wp:wrapNone/>
          <wp:docPr id="1073741825" name="officeArt object" descr="up_logo_horiz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up_logo_horiz.png" descr="up_logo_horiz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1" cy="7194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6909434</wp:posOffset>
          </wp:positionH>
          <wp:positionV relativeFrom="page">
            <wp:posOffset>459105</wp:posOffset>
          </wp:positionV>
          <wp:extent cx="291465" cy="2127250"/>
          <wp:effectExtent l="0" t="0" r="0" b="0"/>
          <wp:wrapNone/>
          <wp:docPr id="1073741826" name="officeArt object" descr="geniu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genius.png" descr="genius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00" w:lineRule="exact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f4c4d"/>
      <w:spacing w:val="0"/>
      <w:kern w:val="0"/>
      <w:position w:val="0"/>
      <w:sz w:val="16"/>
      <w:szCs w:val="16"/>
      <w:u w:val="none" w:color="4f4c4d"/>
      <w:vertAlign w:val="baseline"/>
      <w14:textFill>
        <w14:solidFill>
          <w14:srgbClr w14:val="4F4C4D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12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50" w:lineRule="exact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50" w:lineRule="exact"/>
      <w:ind w:left="72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