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9C1" w:rsidRDefault="003039C1" w:rsidP="003039C1">
      <w:pPr>
        <w:pStyle w:val="Nzev"/>
        <w:jc w:val="center"/>
      </w:pPr>
      <w:r>
        <w:t>V rámci usnesení č. 4 z 11. prosince 2019 AS UP žádal tyto informace/podklady:</w:t>
      </w:r>
    </w:p>
    <w:p w:rsidR="003039C1" w:rsidRDefault="003039C1" w:rsidP="003039C1">
      <w:pPr>
        <w:pStyle w:val="Nadpis1"/>
      </w:pPr>
      <w:r>
        <w:t>Zadání 1</w:t>
      </w:r>
    </w:p>
    <w:p w:rsidR="003039C1" w:rsidRPr="003039C1" w:rsidRDefault="003039C1" w:rsidP="003039C1">
      <w:pPr>
        <w:rPr>
          <w:i/>
        </w:rPr>
      </w:pPr>
      <w:r w:rsidRPr="003039C1">
        <w:rPr>
          <w:i/>
        </w:rPr>
        <w:t>Předložení finální verze metodiky dělení RVO mezi jednotlivé fakulty UP a VŠÚ UP, včetně modelového výpočtu, z něhož bude jasně patrný dopad navržené metodiky.</w:t>
      </w:r>
    </w:p>
    <w:p w:rsidR="003039C1" w:rsidRDefault="003039C1" w:rsidP="003039C1">
      <w:pPr>
        <w:pStyle w:val="Nadpis1"/>
      </w:pPr>
      <w:r>
        <w:t>Vypořádání</w:t>
      </w:r>
    </w:p>
    <w:p w:rsidR="003039C1" w:rsidRDefault="003039C1" w:rsidP="003039C1">
      <w:r>
        <w:t>Viz přílohy:</w:t>
      </w:r>
    </w:p>
    <w:p w:rsidR="003039C1" w:rsidRPr="008B0A80" w:rsidRDefault="003039C1" w:rsidP="008B0A80">
      <w:pPr>
        <w:pStyle w:val="Odstavecseseznamem"/>
        <w:numPr>
          <w:ilvl w:val="0"/>
          <w:numId w:val="1"/>
        </w:numPr>
        <w:rPr>
          <w:b/>
          <w:i/>
        </w:rPr>
      </w:pPr>
      <w:r w:rsidRPr="008B0A80">
        <w:rPr>
          <w:b/>
          <w:i/>
        </w:rPr>
        <w:t>Metodika_vnitrniho_hodnoceni_VaV_v4</w:t>
      </w:r>
    </w:p>
    <w:p w:rsidR="003039C1" w:rsidRPr="008B0A80" w:rsidRDefault="003039C1" w:rsidP="008B0A80">
      <w:pPr>
        <w:pStyle w:val="Odstavecseseznamem"/>
        <w:numPr>
          <w:ilvl w:val="0"/>
          <w:numId w:val="1"/>
        </w:numPr>
        <w:rPr>
          <w:b/>
          <w:i/>
        </w:rPr>
      </w:pPr>
      <w:r w:rsidRPr="008B0A80">
        <w:rPr>
          <w:b/>
          <w:i/>
        </w:rPr>
        <w:t xml:space="preserve">Modelový </w:t>
      </w:r>
      <w:proofErr w:type="spellStart"/>
      <w:r w:rsidRPr="008B0A80">
        <w:rPr>
          <w:b/>
          <w:i/>
        </w:rPr>
        <w:t>výpočet</w:t>
      </w:r>
      <w:proofErr w:type="spellEnd"/>
      <w:r w:rsidRPr="008B0A80">
        <w:rPr>
          <w:b/>
          <w:i/>
        </w:rPr>
        <w:t xml:space="preserve"> </w:t>
      </w:r>
      <w:proofErr w:type="spellStart"/>
      <w:r w:rsidRPr="008B0A80">
        <w:rPr>
          <w:b/>
          <w:i/>
        </w:rPr>
        <w:t>děleni</w:t>
      </w:r>
      <w:proofErr w:type="spellEnd"/>
      <w:r w:rsidRPr="008B0A80">
        <w:rPr>
          <w:b/>
          <w:i/>
        </w:rPr>
        <w:t>́ RVO pro rok 2020</w:t>
      </w:r>
    </w:p>
    <w:p w:rsidR="003039C1" w:rsidRDefault="003039C1" w:rsidP="003039C1">
      <w:pPr>
        <w:pStyle w:val="Nadpis1"/>
      </w:pPr>
      <w:r>
        <w:t>Zadání 2</w:t>
      </w:r>
    </w:p>
    <w:p w:rsidR="003039C1" w:rsidRDefault="003039C1" w:rsidP="003039C1">
      <w:r w:rsidRPr="003039C1">
        <w:rPr>
          <w:i/>
        </w:rPr>
        <w:t xml:space="preserve">Předložení finální verze systému odvodů </w:t>
      </w:r>
      <w:proofErr w:type="gramStart"/>
      <w:r w:rsidRPr="003039C1">
        <w:rPr>
          <w:i/>
        </w:rPr>
        <w:t>na</w:t>
      </w:r>
      <w:proofErr w:type="gramEnd"/>
      <w:r w:rsidRPr="003039C1">
        <w:rPr>
          <w:i/>
        </w:rPr>
        <w:t xml:space="preserve"> RUP, ze které bude jasně patrný podíl VŠÚ na těchto odvodech</w:t>
      </w:r>
      <w:r>
        <w:t>.</w:t>
      </w:r>
    </w:p>
    <w:p w:rsidR="003039C1" w:rsidRDefault="003039C1" w:rsidP="003039C1">
      <w:pPr>
        <w:pStyle w:val="Nadpis1"/>
      </w:pPr>
      <w:r>
        <w:t>Vypořádání</w:t>
      </w:r>
    </w:p>
    <w:p w:rsidR="003039C1" w:rsidRDefault="003039C1" w:rsidP="003039C1">
      <w:pPr>
        <w:ind w:firstLine="708"/>
        <w:jc w:val="both"/>
      </w:pPr>
      <w:r>
        <w:t xml:space="preserve">Situace k datu je taková, že rektor na zasedání AS UP dne 26. 2. předloží metodiku rozdělení příspěvku a dotací pro rok 2020 v obdobné podobě jako pro rok 2019. Participace součástí na odvodech na CJ v poměru 90% </w:t>
      </w:r>
      <w:proofErr w:type="spellStart"/>
      <w:r>
        <w:t>flat</w:t>
      </w:r>
      <w:proofErr w:type="spellEnd"/>
      <w:r>
        <w:t xml:space="preserve"> </w:t>
      </w:r>
      <w:proofErr w:type="spellStart"/>
      <w:r>
        <w:t>rate</w:t>
      </w:r>
      <w:proofErr w:type="spellEnd"/>
      <w:r>
        <w:t xml:space="preserve"> (ukazatel A+K+RVO), 5% dle výše projektových režií předchozího roku a 5% dle celkových neinvestičních výnosů předchozího roku ze všech zdrojů. Další tedy bude záležet na rozhodnutí AS UP.</w:t>
      </w:r>
    </w:p>
    <w:p w:rsidR="003039C1" w:rsidRDefault="003039C1" w:rsidP="003039C1">
      <w:pPr>
        <w:pStyle w:val="Nadpis1"/>
      </w:pPr>
      <w:r>
        <w:t>Zadání 3</w:t>
      </w:r>
    </w:p>
    <w:p w:rsidR="003039C1" w:rsidRDefault="003039C1" w:rsidP="003039C1">
      <w:pPr>
        <w:jc w:val="both"/>
      </w:pPr>
      <w:r w:rsidRPr="003039C1">
        <w:rPr>
          <w:i/>
        </w:rPr>
        <w:t>Předložení návrhu opatření a finančních mechanismů pro případ, že se nenaplní avizované externí a projektové příjmy vysokoškolského ústavu</w:t>
      </w:r>
      <w:r>
        <w:t>.</w:t>
      </w:r>
    </w:p>
    <w:p w:rsidR="003039C1" w:rsidRDefault="003039C1" w:rsidP="003039C1">
      <w:pPr>
        <w:pStyle w:val="Nadpis1"/>
      </w:pPr>
      <w:r>
        <w:t>Vypořádání</w:t>
      </w:r>
    </w:p>
    <w:p w:rsidR="003039C1" w:rsidRDefault="003039C1" w:rsidP="003039C1">
      <w:pPr>
        <w:ind w:firstLine="708"/>
        <w:jc w:val="both"/>
      </w:pPr>
      <w:r>
        <w:t>Dosavadní historie vědeckovýzkumných center na UP a v současné době velmi dobře zajištěné financování na nejbližší 3 roky poskytují předpoklady, že udržitelnosti VŠ ústavu bude dosaženo.</w:t>
      </w:r>
    </w:p>
    <w:p w:rsidR="003039C1" w:rsidRDefault="003039C1" w:rsidP="003039C1">
      <w:pPr>
        <w:ind w:firstLine="708"/>
        <w:jc w:val="both"/>
      </w:pPr>
      <w:r>
        <w:t xml:space="preserve">Aktuálně běžící grantové projekty společně s institucionálním financováním zaručují dostatek zdrojů pro provoz VŠ ústavu v letech 2020–2022. Dlouhodobým cílem je udržení úspěšnosti v získávání projektů tak, aby byl v následujícím období celkový rozpočet VŠÚ v této procentové struktuře: 20-25 % RVO, 70-75 % projekty a 10-15 % DČ. Rozvoj VŠÚ bude tedy realizován zejména v rámci projektových aktivit, ke kterým v průběhu mohou přispět i další jednotky/výzkumné skupiny zapojující se do činnosti VŠ ústavu. </w:t>
      </w:r>
    </w:p>
    <w:p w:rsidR="003039C1" w:rsidRPr="003039C1" w:rsidRDefault="003039C1" w:rsidP="003039C1">
      <w:pPr>
        <w:ind w:firstLine="708"/>
        <w:jc w:val="both"/>
        <w:rPr>
          <w:b/>
        </w:rPr>
      </w:pPr>
      <w:r w:rsidRPr="003039C1">
        <w:rPr>
          <w:b/>
        </w:rPr>
        <w:t xml:space="preserve">Pro případ poklesu grantových příjmů není třeba přijímat speciální opatření či strategii. V případě financování založeného na získaných grantech, jak je tomu u současných center a bude i u VŠ ústavu, má velká část zaměstnanců pracovní smlouvu na dobu určitou pouze na konkrétním projektu. Prodloužení jejich pracovní smlouvy pak závisí na grantové úspěšnosti v následujícím období. Riziko poklesu grantových příjmů je tedy z podstaty pravidel poskytovatelů grantových prostředků rizikem pro </w:t>
      </w:r>
      <w:r w:rsidRPr="003039C1">
        <w:rPr>
          <w:b/>
        </w:rPr>
        <w:lastRenderedPageBreak/>
        <w:t xml:space="preserve">rozvoj VŠ ústavu, nikoliv rizikem jeho ekonomické udržitelnosti. Toto riziko je plně zohledněno v dlouhodobé finanční a projektové strategii VŠ ústavu, viz kap. 2.2. </w:t>
      </w:r>
    </w:p>
    <w:p w:rsidR="003039C1" w:rsidRDefault="003039C1" w:rsidP="003039C1">
      <w:pPr>
        <w:ind w:firstLine="708"/>
        <w:jc w:val="both"/>
      </w:pPr>
      <w:r>
        <w:t xml:space="preserve">Centra během své téměř desetileté existence prokázala vynikající konkurenceschopnost v získávání grantů z národních zdrojů (GAČR, TAČR, AZV, </w:t>
      </w:r>
      <w:proofErr w:type="spellStart"/>
      <w:r>
        <w:t>MZe</w:t>
      </w:r>
      <w:proofErr w:type="spellEnd"/>
      <w:r>
        <w:t xml:space="preserve"> a další), získala a řešila desítky projektů, takže lze oprávněně předpokládat, že v této příjmové kapitole pokles nenastane.</w:t>
      </w:r>
    </w:p>
    <w:p w:rsidR="003039C1" w:rsidRDefault="003039C1" w:rsidP="003039C1">
      <w:pPr>
        <w:ind w:firstLine="708"/>
        <w:jc w:val="both"/>
      </w:pPr>
      <w:r>
        <w:t xml:space="preserve">Velkou výzvou pro udržitelnost všech výzkumných center v ČR bude ovšem období po roce 2022, protože v dalším programovém období OP (2021–2027) se očekává významné omezení prostředků, které bude možno čerpat na národní úrovni ze strukturálních fondů EU (odsud byly převážně financovány programy OP </w:t>
      </w:r>
      <w:proofErr w:type="spellStart"/>
      <w:r>
        <w:t>VaVpI</w:t>
      </w:r>
      <w:proofErr w:type="spellEnd"/>
      <w:r>
        <w:t xml:space="preserve"> i OP VVV). Pro VŠ ústav založený na bázi stávajících center CRH, RCPTM a ÚMTM by v nejhorším scénáři ukončení současných projektů OP VVV ke konci roku 2022 bez jakékoliv náhrady mohlo znamenat v roce 2023 jednorázový pokles příjmů až o 25-30 %. Tento scénář je však velmi nepravděpodobný, viz níže.</w:t>
      </w:r>
    </w:p>
    <w:p w:rsidR="003039C1" w:rsidRDefault="003039C1" w:rsidP="003039C1">
      <w:pPr>
        <w:ind w:firstLine="708"/>
        <w:jc w:val="both"/>
      </w:pPr>
      <w:r>
        <w:t xml:space="preserve">Dle dostupných informací o novém OP lze očekávat, že budou prostředky na velké infrastrukturní projekty a v menším rozsahu střední i menší výzkumné projekty, které mohou nahradit část příjmů z původních OP VVV. Na tuto situaci se již vedení současných center připravuje a jejich strategie bude dále rozpracována a optimalizována vedením VŠ ústavu s ohledem na konkrétní vývoj grantové politiky a objevující se příležitosti tak, aby bylo financování VŠ ústavu zajištěno. Velký důraz musí být kladen na projekty z Rámcového programu pro výzkum a inovace EU </w:t>
      </w:r>
      <w:proofErr w:type="spellStart"/>
      <w:r>
        <w:t>Horizon</w:t>
      </w:r>
      <w:proofErr w:type="spellEnd"/>
      <w:r>
        <w:t xml:space="preserve"> 2020/</w:t>
      </w:r>
      <w:proofErr w:type="spellStart"/>
      <w:r>
        <w:t>Europe</w:t>
      </w:r>
      <w:proofErr w:type="spellEnd"/>
      <w:r>
        <w:t>, případně dalších mezinárodních grantových schémat.</w:t>
      </w:r>
    </w:p>
    <w:p w:rsidR="003039C1" w:rsidRDefault="003039C1" w:rsidP="003039C1">
      <w:pPr>
        <w:ind w:firstLine="708"/>
        <w:jc w:val="both"/>
      </w:pPr>
      <w:r>
        <w:t>Mimo to, část činnosti VŠ ústavu bude orientována na doplňkovou činnost, převážně pak smluvní výzkum a transfer technologií. Z této činnosti bude v případě kladného hospodářského výsledku tvořen fond provozních prostředků, který může dočasně kompenzovat případný krátkodobý pokles grantových příjmů.</w:t>
      </w:r>
    </w:p>
    <w:p w:rsidR="003039C1" w:rsidRDefault="003039C1" w:rsidP="003039C1">
      <w:pPr>
        <w:pStyle w:val="Nadpis1"/>
      </w:pPr>
      <w:r>
        <w:t>Zadání 4</w:t>
      </w:r>
    </w:p>
    <w:p w:rsidR="003039C1" w:rsidRDefault="003039C1" w:rsidP="003039C1">
      <w:r w:rsidRPr="003039C1">
        <w:rPr>
          <w:i/>
        </w:rPr>
        <w:t xml:space="preserve">Dosažení úplné dohody s vedením </w:t>
      </w:r>
      <w:proofErr w:type="spellStart"/>
      <w:r w:rsidRPr="003039C1">
        <w:rPr>
          <w:i/>
        </w:rPr>
        <w:t>PřF</w:t>
      </w:r>
      <w:proofErr w:type="spellEnd"/>
      <w:r w:rsidRPr="003039C1">
        <w:rPr>
          <w:i/>
        </w:rPr>
        <w:t xml:space="preserve"> UP na znění technické dohody o podmínkách realizace organizační změny na UP spočívající ve zřízení VŠÚ</w:t>
      </w:r>
      <w:r>
        <w:t xml:space="preserve">. </w:t>
      </w:r>
    </w:p>
    <w:p w:rsidR="003039C1" w:rsidRDefault="003039C1" w:rsidP="003039C1">
      <w:pPr>
        <w:pStyle w:val="Nadpis1"/>
      </w:pPr>
      <w:r>
        <w:t>Vypořádání</w:t>
      </w:r>
    </w:p>
    <w:p w:rsidR="003039C1" w:rsidRDefault="003039C1" w:rsidP="0038441E">
      <w:pPr>
        <w:ind w:firstLine="708"/>
        <w:jc w:val="both"/>
      </w:pPr>
      <w:r>
        <w:t xml:space="preserve">V současné době probíhají jednání k technické dohodě, plánováno je setkání na 3. 2. 2020 a 11. 2. 2020. Po 11. 2. 2020 bude AS UP neprodleně zaslán doplňující text s výsledkem jednání. </w:t>
      </w:r>
    </w:p>
    <w:p w:rsidR="003039C1" w:rsidRDefault="003039C1" w:rsidP="003039C1"/>
    <w:p w:rsidR="0038441E" w:rsidRDefault="0038441E" w:rsidP="0038441E">
      <w:pPr>
        <w:pStyle w:val="Nadpis1"/>
      </w:pPr>
      <w:r>
        <w:t xml:space="preserve">Zadání </w:t>
      </w:r>
      <w:r>
        <w:t>5</w:t>
      </w:r>
    </w:p>
    <w:p w:rsidR="003039C1" w:rsidRPr="0038441E" w:rsidRDefault="0038441E" w:rsidP="0038441E">
      <w:pPr>
        <w:jc w:val="both"/>
        <w:rPr>
          <w:i/>
        </w:rPr>
      </w:pPr>
      <w:r w:rsidRPr="0038441E">
        <w:rPr>
          <w:i/>
        </w:rPr>
        <w:t>D</w:t>
      </w:r>
      <w:r w:rsidR="003039C1" w:rsidRPr="0038441E">
        <w:rPr>
          <w:i/>
        </w:rPr>
        <w:t xml:space="preserve">osažení shody na rozdělení nemovitého a movitého majetku UP, který je v současné době užíván a spravován </w:t>
      </w:r>
      <w:proofErr w:type="spellStart"/>
      <w:r w:rsidR="003039C1" w:rsidRPr="0038441E">
        <w:rPr>
          <w:i/>
        </w:rPr>
        <w:t>PřF</w:t>
      </w:r>
      <w:proofErr w:type="spellEnd"/>
      <w:r w:rsidR="003039C1" w:rsidRPr="0038441E">
        <w:rPr>
          <w:i/>
        </w:rPr>
        <w:t xml:space="preserve"> UP. V ostatních bodech, které byly předmětem jednání k návrhu řešení technické dohody mezi RUP a </w:t>
      </w:r>
      <w:proofErr w:type="spellStart"/>
      <w:r w:rsidR="003039C1" w:rsidRPr="0038441E">
        <w:rPr>
          <w:i/>
        </w:rPr>
        <w:t>PřF</w:t>
      </w:r>
      <w:proofErr w:type="spellEnd"/>
      <w:r w:rsidR="003039C1" w:rsidRPr="0038441E">
        <w:rPr>
          <w:i/>
        </w:rPr>
        <w:t xml:space="preserve"> UP, AS UP konstatuje, že je považuje za vypořádané ve shodě, a proto je další budoucí jednání o nich bezpředmětné. </w:t>
      </w:r>
    </w:p>
    <w:p w:rsidR="0038441E" w:rsidRDefault="0038441E" w:rsidP="0038441E">
      <w:pPr>
        <w:pStyle w:val="Nadpis1"/>
      </w:pPr>
      <w:r>
        <w:t>Vypořádání</w:t>
      </w:r>
    </w:p>
    <w:p w:rsidR="003039C1" w:rsidRDefault="003039C1" w:rsidP="0038441E">
      <w:pPr>
        <w:ind w:firstLine="708"/>
        <w:jc w:val="both"/>
      </w:pPr>
      <w:r>
        <w:t xml:space="preserve">Je předkládán Řád o nakládání s majetkem v podobě, která zatím nezohledňuje majetek CATRIN. V současné době probíhají jednání k technické dohodě, jejichž součástí je dohoda o způsobu rozdělení majetku mezi CATRIN a </w:t>
      </w:r>
      <w:proofErr w:type="spellStart"/>
      <w:r>
        <w:t>PřF</w:t>
      </w:r>
      <w:proofErr w:type="spellEnd"/>
      <w:r>
        <w:t xml:space="preserve">, plánováno je </w:t>
      </w:r>
      <w:r>
        <w:lastRenderedPageBreak/>
        <w:t xml:space="preserve">setkání na 3. 2. 2020 a 11. 2. 2020. Po 11. 2. 2020 bude AS UP neprodleně zaslán doplňující text s výsledkem jednání. </w:t>
      </w:r>
    </w:p>
    <w:p w:rsidR="003039C1" w:rsidRDefault="0038441E" w:rsidP="0038441E">
      <w:pPr>
        <w:pStyle w:val="Nadpis1"/>
      </w:pPr>
      <w:r>
        <w:t xml:space="preserve">Zadání </w:t>
      </w:r>
      <w:r>
        <w:t>6</w:t>
      </w:r>
    </w:p>
    <w:p w:rsidR="003039C1" w:rsidRDefault="003039C1" w:rsidP="0038441E">
      <w:pPr>
        <w:ind w:firstLine="708"/>
        <w:jc w:val="both"/>
      </w:pPr>
      <w:r w:rsidRPr="0038441E">
        <w:rPr>
          <w:i/>
        </w:rPr>
        <w:t>AS UP žádá rektora UP, aby výše uvedené požadavky vypořádal nejpozději s předložením dopracované verze návrhu Statutu VŠÚ a aby současně s dopracovanou verzí návrhu Statutu VŠÚ předložil AS UP přehled kompetencí a povinností jednotlivých orgánů VŠÚ a vzájemné vazby na orgány UP, ze kterého budou patrné mechanismy kontroly a dohledu nad řádným fungováním VŠÚ</w:t>
      </w:r>
      <w:r>
        <w:t xml:space="preserve">. </w:t>
      </w:r>
    </w:p>
    <w:p w:rsidR="003039C1" w:rsidRDefault="0038441E" w:rsidP="0038441E">
      <w:pPr>
        <w:pStyle w:val="Nadpis1"/>
      </w:pPr>
      <w:r>
        <w:t>Vypořádání</w:t>
      </w:r>
    </w:p>
    <w:p w:rsidR="00B56B61" w:rsidRDefault="003039C1" w:rsidP="0038441E">
      <w:pPr>
        <w:ind w:firstLine="708"/>
        <w:jc w:val="both"/>
      </w:pPr>
      <w:r>
        <w:t>Přehled kompetencí a povinností jednotlivých orgánů CATRIN je předáván v podobě organig</w:t>
      </w:r>
      <w:r w:rsidR="0038441E">
        <w:t>r</w:t>
      </w:r>
      <w:r>
        <w:t>amů (</w:t>
      </w:r>
      <w:r w:rsidR="008B0A80">
        <w:t xml:space="preserve">viz příloha </w:t>
      </w:r>
      <w:r w:rsidR="008B0A80" w:rsidRPr="008B0A80">
        <w:rPr>
          <w:b/>
          <w:i/>
        </w:rPr>
        <w:t>CATRIN-organigram a vztah k UP</w:t>
      </w:r>
      <w:r>
        <w:t xml:space="preserve">) pro 2 navrhované fáze </w:t>
      </w:r>
      <w:r w:rsidR="008B0A80">
        <w:t>–</w:t>
      </w:r>
      <w:r>
        <w:t xml:space="preserve"> fáze 1 (dle současného znění statutu) a fáze 2 (po dokončení integrace). Dále je v dokumentu podán přehled výčtu kompetencí jednotlivých orgánů CATRIN a také vazby na orgány UP, popisující mechanismy kontroly a dohledu nad fungováním CATRIN. </w:t>
      </w:r>
      <w:r w:rsidR="008B0A80">
        <w:t>K</w:t>
      </w:r>
      <w:r>
        <w:t xml:space="preserve">ompetence jednotlivých orgánů </w:t>
      </w:r>
      <w:r w:rsidR="008B0A80">
        <w:t>jsou podrobně popsány v </w:t>
      </w:r>
      <w:proofErr w:type="spellStart"/>
      <w:r w:rsidR="008B0A80">
        <w:t>excelové</w:t>
      </w:r>
      <w:proofErr w:type="spellEnd"/>
      <w:r w:rsidR="008B0A80">
        <w:t xml:space="preserve"> příloze </w:t>
      </w:r>
      <w:r w:rsidR="008B0A80" w:rsidRPr="008B0A80">
        <w:rPr>
          <w:b/>
          <w:i/>
        </w:rPr>
        <w:t>CATRIN-činnosti</w:t>
      </w:r>
      <w:bookmarkStart w:id="0" w:name="_GoBack"/>
      <w:r w:rsidRPr="008B0A80">
        <w:t>.</w:t>
      </w:r>
      <w:bookmarkEnd w:id="0"/>
    </w:p>
    <w:sectPr w:rsidR="00B56B6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3E0" w:rsidRDefault="001803E0" w:rsidP="008B0A80">
      <w:r>
        <w:separator/>
      </w:r>
    </w:p>
  </w:endnote>
  <w:endnote w:type="continuationSeparator" w:id="0">
    <w:p w:rsidR="001803E0" w:rsidRDefault="001803E0" w:rsidP="008B0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7794369"/>
      <w:docPartObj>
        <w:docPartGallery w:val="Page Numbers (Bottom of Page)"/>
        <w:docPartUnique/>
      </w:docPartObj>
    </w:sdtPr>
    <w:sdtContent>
      <w:p w:rsidR="008B0A80" w:rsidRDefault="008B0A8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B0A80" w:rsidRDefault="008B0A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3E0" w:rsidRDefault="001803E0" w:rsidP="008B0A80">
      <w:r>
        <w:separator/>
      </w:r>
    </w:p>
  </w:footnote>
  <w:footnote w:type="continuationSeparator" w:id="0">
    <w:p w:rsidR="001803E0" w:rsidRDefault="001803E0" w:rsidP="008B0A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CB74BA"/>
    <w:multiLevelType w:val="hybridMultilevel"/>
    <w:tmpl w:val="D08E692A"/>
    <w:lvl w:ilvl="0" w:tplc="4716AD02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9C1"/>
    <w:rsid w:val="001803E0"/>
    <w:rsid w:val="003039C1"/>
    <w:rsid w:val="0038441E"/>
    <w:rsid w:val="008B0A80"/>
    <w:rsid w:val="00B5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F5626"/>
  <w15:chartTrackingRefBased/>
  <w15:docId w15:val="{046DA3A8-6C6E-439D-B21F-B691DDB88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Theme="minorHAnsi" w:hAnsi="Georgia" w:cstheme="minorBidi"/>
        <w:sz w:val="24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039C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3039C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039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3039C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8B0A8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B0A8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B0A80"/>
  </w:style>
  <w:style w:type="paragraph" w:styleId="Zpat">
    <w:name w:val="footer"/>
    <w:basedOn w:val="Normln"/>
    <w:link w:val="ZpatChar"/>
    <w:uiPriority w:val="99"/>
    <w:unhideWhenUsed/>
    <w:rsid w:val="008B0A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B0A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887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Inc.</dc:creator>
  <cp:keywords/>
  <dc:description/>
  <cp:lastModifiedBy>HP Inc.</cp:lastModifiedBy>
  <cp:revision>2</cp:revision>
  <dcterms:created xsi:type="dcterms:W3CDTF">2020-02-01T09:35:00Z</dcterms:created>
  <dcterms:modified xsi:type="dcterms:W3CDTF">2020-02-01T09:55:00Z</dcterms:modified>
</cp:coreProperties>
</file>