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7810F" w14:textId="77777777" w:rsidR="000666D4" w:rsidRPr="00577449" w:rsidRDefault="000666D4" w:rsidP="000666D4">
      <w:pPr>
        <w:jc w:val="center"/>
        <w:rPr>
          <w:b/>
          <w:sz w:val="28"/>
          <w:lang w:val="cs-CZ"/>
        </w:rPr>
      </w:pPr>
      <w:bookmarkStart w:id="0" w:name="_GoBack"/>
      <w:bookmarkEnd w:id="0"/>
      <w:r w:rsidRPr="00577449">
        <w:rPr>
          <w:b/>
          <w:sz w:val="28"/>
          <w:lang w:val="cs-CZ"/>
        </w:rPr>
        <w:t>Modelový výpočet dělení RVO pro rok 2020</w:t>
      </w:r>
    </w:p>
    <w:p w14:paraId="337EF205" w14:textId="77777777" w:rsidR="000666D4" w:rsidRPr="00577449" w:rsidRDefault="000666D4" w:rsidP="000666D4">
      <w:pPr>
        <w:rPr>
          <w:lang w:val="cs-CZ"/>
        </w:rPr>
      </w:pPr>
    </w:p>
    <w:p w14:paraId="28176DEE" w14:textId="4BBE85A5" w:rsidR="007F4F5E" w:rsidRPr="00577449" w:rsidRDefault="000666D4" w:rsidP="000666D4">
      <w:pPr>
        <w:jc w:val="both"/>
        <w:rPr>
          <w:lang w:val="cs-CZ"/>
        </w:rPr>
      </w:pPr>
      <w:r w:rsidRPr="00577449">
        <w:rPr>
          <w:lang w:val="cs-CZ"/>
        </w:rPr>
        <w:t xml:space="preserve">Modelový výpočet dělení RVO na UP pro rok 2020 dle navržené metodiky vnitřního dělení lze provést v tuto chvíli jen částečně, neboť a) není </w:t>
      </w:r>
      <w:r w:rsidR="006338A5">
        <w:rPr>
          <w:lang w:val="cs-CZ"/>
        </w:rPr>
        <w:t xml:space="preserve">zatím </w:t>
      </w:r>
      <w:r w:rsidRPr="00577449">
        <w:rPr>
          <w:lang w:val="cs-CZ"/>
        </w:rPr>
        <w:t xml:space="preserve">známa výše nárůstu RVO přiděleného UP pro rok 2020, b) některá data vstupující do výpočtu jsou stále ještě upřesňována fakultami, např. </w:t>
      </w:r>
      <w:r w:rsidR="00577449" w:rsidRPr="00577449">
        <w:rPr>
          <w:lang w:val="cs-CZ"/>
        </w:rPr>
        <w:t>kategorizace nakladatelství a c) část dat prochází kontrolou, např. výsledky aplikovaného výzkumu. Z toho důvodu je zde uvedený stav rozpracování dělení RVO k aktuálnímu dni, který bude průběžně aktualizován</w:t>
      </w:r>
      <w:r w:rsidR="006338A5">
        <w:rPr>
          <w:lang w:val="cs-CZ"/>
        </w:rPr>
        <w:t xml:space="preserve"> a finalizován</w:t>
      </w:r>
      <w:r w:rsidR="00577449" w:rsidRPr="00577449">
        <w:rPr>
          <w:lang w:val="cs-CZ"/>
        </w:rPr>
        <w:t>.</w:t>
      </w:r>
    </w:p>
    <w:p w14:paraId="25E0FB36" w14:textId="77777777" w:rsidR="00577449" w:rsidRPr="00577449" w:rsidRDefault="00577449" w:rsidP="000666D4">
      <w:pPr>
        <w:jc w:val="both"/>
        <w:rPr>
          <w:lang w:val="cs-CZ"/>
        </w:rPr>
      </w:pPr>
    </w:p>
    <w:p w14:paraId="4311FF7D" w14:textId="77777777" w:rsidR="00577449" w:rsidRPr="00577449" w:rsidRDefault="00577449" w:rsidP="000666D4">
      <w:pPr>
        <w:jc w:val="both"/>
        <w:rPr>
          <w:b/>
          <w:lang w:val="cs-CZ"/>
        </w:rPr>
      </w:pPr>
      <w:r w:rsidRPr="00577449">
        <w:rPr>
          <w:b/>
          <w:lang w:val="cs-CZ"/>
        </w:rPr>
        <w:t>Výchozí podíly součástí dle h16</w:t>
      </w:r>
    </w:p>
    <w:p w14:paraId="24833315" w14:textId="3730A5CB" w:rsidR="00577449" w:rsidRDefault="00577449" w:rsidP="000666D4">
      <w:pPr>
        <w:jc w:val="both"/>
        <w:rPr>
          <w:lang w:val="cs-CZ"/>
        </w:rPr>
      </w:pPr>
      <w:r w:rsidRPr="00577449">
        <w:rPr>
          <w:lang w:val="cs-CZ"/>
        </w:rPr>
        <w:t>Podíly fakult dle hodnocení h16 vycházejí</w:t>
      </w:r>
      <w:r w:rsidR="006338A5">
        <w:rPr>
          <w:lang w:val="cs-CZ"/>
        </w:rPr>
        <w:t>cí</w:t>
      </w:r>
      <w:r w:rsidRPr="00577449">
        <w:rPr>
          <w:lang w:val="cs-CZ"/>
        </w:rPr>
        <w:t xml:space="preserve"> z</w:t>
      </w:r>
      <w:r w:rsidR="006338A5">
        <w:rPr>
          <w:lang w:val="cs-CZ"/>
        </w:rPr>
        <w:t xml:space="preserve"> RIV </w:t>
      </w:r>
      <w:r w:rsidRPr="00577449">
        <w:rPr>
          <w:lang w:val="cs-CZ"/>
        </w:rPr>
        <w:t>bodů přidělených v tomto hodnocení jsou shrnuty v následující tabulce:</w:t>
      </w:r>
    </w:p>
    <w:p w14:paraId="584B69D8" w14:textId="77777777" w:rsidR="00047669" w:rsidRDefault="00047669" w:rsidP="000666D4">
      <w:pPr>
        <w:jc w:val="both"/>
        <w:rPr>
          <w:lang w:val="cs-CZ"/>
        </w:rPr>
      </w:pPr>
    </w:p>
    <w:tbl>
      <w:tblPr>
        <w:tblStyle w:val="Stednseznam2zvraznn1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577449" w14:paraId="0015FFB7" w14:textId="77777777" w:rsidTr="000476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38" w:type="dxa"/>
          </w:tcPr>
          <w:p w14:paraId="60286CAB" w14:textId="77777777" w:rsidR="00577449" w:rsidRDefault="00577449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fakulta</w:t>
            </w:r>
          </w:p>
        </w:tc>
        <w:tc>
          <w:tcPr>
            <w:tcW w:w="2839" w:type="dxa"/>
          </w:tcPr>
          <w:p w14:paraId="09DDB6DD" w14:textId="77777777" w:rsidR="00577449" w:rsidRDefault="00577449" w:rsidP="006338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RIV body</w:t>
            </w:r>
          </w:p>
        </w:tc>
        <w:tc>
          <w:tcPr>
            <w:tcW w:w="2839" w:type="dxa"/>
          </w:tcPr>
          <w:p w14:paraId="19BCEE7D" w14:textId="77777777" w:rsidR="00577449" w:rsidRDefault="00577449" w:rsidP="006338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podíl</w:t>
            </w:r>
          </w:p>
        </w:tc>
      </w:tr>
      <w:tr w:rsidR="00577449" w14:paraId="1E23D796" w14:textId="77777777" w:rsidTr="00047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66FFBBD6" w14:textId="77777777" w:rsidR="00577449" w:rsidRDefault="00577449" w:rsidP="000666D4">
            <w:pPr>
              <w:jc w:val="both"/>
              <w:rPr>
                <w:lang w:val="cs-CZ"/>
              </w:rPr>
            </w:pPr>
            <w:proofErr w:type="spellStart"/>
            <w:r>
              <w:rPr>
                <w:lang w:val="cs-CZ"/>
              </w:rPr>
              <w:t>PřF</w:t>
            </w:r>
            <w:proofErr w:type="spellEnd"/>
          </w:p>
        </w:tc>
        <w:tc>
          <w:tcPr>
            <w:tcW w:w="2839" w:type="dxa"/>
          </w:tcPr>
          <w:p w14:paraId="7BD5EEF6" w14:textId="77777777" w:rsidR="00577449" w:rsidRDefault="00047669" w:rsidP="0063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117706.3849</w:t>
            </w:r>
          </w:p>
        </w:tc>
        <w:tc>
          <w:tcPr>
            <w:tcW w:w="2839" w:type="dxa"/>
          </w:tcPr>
          <w:p w14:paraId="593D4243" w14:textId="77777777" w:rsidR="00577449" w:rsidRDefault="00047669" w:rsidP="0063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58.71%</w:t>
            </w:r>
          </w:p>
        </w:tc>
      </w:tr>
      <w:tr w:rsidR="00577449" w14:paraId="0F772BC9" w14:textId="77777777" w:rsidTr="000476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601267C3" w14:textId="77777777" w:rsidR="00577449" w:rsidRDefault="00577449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LF</w:t>
            </w:r>
          </w:p>
        </w:tc>
        <w:tc>
          <w:tcPr>
            <w:tcW w:w="2839" w:type="dxa"/>
          </w:tcPr>
          <w:p w14:paraId="3D238E9D" w14:textId="77777777" w:rsidR="00577449" w:rsidRDefault="00047669" w:rsidP="00633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32872.94958</w:t>
            </w:r>
          </w:p>
        </w:tc>
        <w:tc>
          <w:tcPr>
            <w:tcW w:w="2839" w:type="dxa"/>
          </w:tcPr>
          <w:p w14:paraId="1822F0A8" w14:textId="77777777" w:rsidR="00577449" w:rsidRDefault="00047669" w:rsidP="00633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16.40%</w:t>
            </w:r>
          </w:p>
        </w:tc>
      </w:tr>
      <w:tr w:rsidR="00577449" w14:paraId="161F5126" w14:textId="77777777" w:rsidTr="00047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69D76DD2" w14:textId="77777777" w:rsidR="00577449" w:rsidRDefault="00577449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FF</w:t>
            </w:r>
          </w:p>
        </w:tc>
        <w:tc>
          <w:tcPr>
            <w:tcW w:w="2839" w:type="dxa"/>
          </w:tcPr>
          <w:p w14:paraId="089D0D26" w14:textId="77777777" w:rsidR="00577449" w:rsidRDefault="00047669" w:rsidP="0063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24751.7472</w:t>
            </w:r>
          </w:p>
        </w:tc>
        <w:tc>
          <w:tcPr>
            <w:tcW w:w="2839" w:type="dxa"/>
          </w:tcPr>
          <w:p w14:paraId="0C0E27F3" w14:textId="77777777" w:rsidR="00577449" w:rsidRDefault="00047669" w:rsidP="0063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12.35%</w:t>
            </w:r>
          </w:p>
        </w:tc>
      </w:tr>
      <w:tr w:rsidR="00577449" w14:paraId="3D229498" w14:textId="77777777" w:rsidTr="000476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4A78D74D" w14:textId="77777777" w:rsidR="00577449" w:rsidRDefault="00577449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CMTF</w:t>
            </w:r>
          </w:p>
        </w:tc>
        <w:tc>
          <w:tcPr>
            <w:tcW w:w="2839" w:type="dxa"/>
          </w:tcPr>
          <w:p w14:paraId="18E87D2A" w14:textId="77777777" w:rsidR="00577449" w:rsidRDefault="00047669" w:rsidP="00633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8062.709449</w:t>
            </w:r>
          </w:p>
        </w:tc>
        <w:tc>
          <w:tcPr>
            <w:tcW w:w="2839" w:type="dxa"/>
          </w:tcPr>
          <w:p w14:paraId="2A168615" w14:textId="77777777" w:rsidR="00577449" w:rsidRDefault="00047669" w:rsidP="00633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4.02%</w:t>
            </w:r>
          </w:p>
        </w:tc>
      </w:tr>
      <w:tr w:rsidR="00577449" w14:paraId="0FDAC709" w14:textId="77777777" w:rsidTr="00047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72AB5133" w14:textId="77777777" w:rsidR="00577449" w:rsidRDefault="00577449" w:rsidP="000666D4">
            <w:pPr>
              <w:jc w:val="both"/>
              <w:rPr>
                <w:lang w:val="cs-CZ"/>
              </w:rPr>
            </w:pPr>
            <w:proofErr w:type="spellStart"/>
            <w:r>
              <w:rPr>
                <w:lang w:val="cs-CZ"/>
              </w:rPr>
              <w:t>PdF</w:t>
            </w:r>
            <w:proofErr w:type="spellEnd"/>
          </w:p>
        </w:tc>
        <w:tc>
          <w:tcPr>
            <w:tcW w:w="2839" w:type="dxa"/>
          </w:tcPr>
          <w:p w14:paraId="31570465" w14:textId="77777777" w:rsidR="00577449" w:rsidRDefault="00047669" w:rsidP="0063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5662.718193</w:t>
            </w:r>
          </w:p>
        </w:tc>
        <w:tc>
          <w:tcPr>
            <w:tcW w:w="2839" w:type="dxa"/>
          </w:tcPr>
          <w:p w14:paraId="72505BB3" w14:textId="77777777" w:rsidR="00577449" w:rsidRDefault="00047669" w:rsidP="0063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2.82%</w:t>
            </w:r>
          </w:p>
        </w:tc>
      </w:tr>
      <w:tr w:rsidR="00577449" w14:paraId="29DB5AFF" w14:textId="77777777" w:rsidTr="000476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5712520D" w14:textId="77777777" w:rsidR="00577449" w:rsidRDefault="00577449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PF</w:t>
            </w:r>
          </w:p>
        </w:tc>
        <w:tc>
          <w:tcPr>
            <w:tcW w:w="2839" w:type="dxa"/>
          </w:tcPr>
          <w:p w14:paraId="74E295E2" w14:textId="77777777" w:rsidR="00577449" w:rsidRDefault="00047669" w:rsidP="00633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5293.6422</w:t>
            </w:r>
          </w:p>
        </w:tc>
        <w:tc>
          <w:tcPr>
            <w:tcW w:w="2839" w:type="dxa"/>
          </w:tcPr>
          <w:p w14:paraId="339D0526" w14:textId="77777777" w:rsidR="00577449" w:rsidRDefault="00047669" w:rsidP="00633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2.64%</w:t>
            </w:r>
          </w:p>
        </w:tc>
      </w:tr>
      <w:tr w:rsidR="00577449" w14:paraId="5BFED249" w14:textId="77777777" w:rsidTr="00047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5F3EBA75" w14:textId="77777777" w:rsidR="00577449" w:rsidRDefault="00577449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FTK</w:t>
            </w:r>
          </w:p>
        </w:tc>
        <w:tc>
          <w:tcPr>
            <w:tcW w:w="2839" w:type="dxa"/>
          </w:tcPr>
          <w:p w14:paraId="048401D5" w14:textId="77777777" w:rsidR="00577449" w:rsidRDefault="00047669" w:rsidP="0063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5543.821297</w:t>
            </w:r>
          </w:p>
        </w:tc>
        <w:tc>
          <w:tcPr>
            <w:tcW w:w="2839" w:type="dxa"/>
          </w:tcPr>
          <w:p w14:paraId="57470E5C" w14:textId="77777777" w:rsidR="00577449" w:rsidRDefault="00047669" w:rsidP="0063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2.77%</w:t>
            </w:r>
          </w:p>
        </w:tc>
      </w:tr>
      <w:tr w:rsidR="00577449" w14:paraId="6F8C80A4" w14:textId="77777777" w:rsidTr="000476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</w:tcPr>
          <w:p w14:paraId="59D625D1" w14:textId="77777777" w:rsidR="00577449" w:rsidRDefault="00577449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FZV</w:t>
            </w:r>
          </w:p>
        </w:tc>
        <w:tc>
          <w:tcPr>
            <w:tcW w:w="2839" w:type="dxa"/>
          </w:tcPr>
          <w:p w14:paraId="0775A0F7" w14:textId="77777777" w:rsidR="00577449" w:rsidRDefault="00047669" w:rsidP="00633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595.4034749</w:t>
            </w:r>
          </w:p>
        </w:tc>
        <w:tc>
          <w:tcPr>
            <w:tcW w:w="2839" w:type="dxa"/>
          </w:tcPr>
          <w:p w14:paraId="46ACD5A2" w14:textId="77777777" w:rsidR="00577449" w:rsidRDefault="00047669" w:rsidP="00633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0.30%</w:t>
            </w:r>
          </w:p>
        </w:tc>
      </w:tr>
    </w:tbl>
    <w:p w14:paraId="7C2FF6C8" w14:textId="77777777" w:rsidR="00577449" w:rsidRDefault="00577449" w:rsidP="000666D4">
      <w:pPr>
        <w:jc w:val="both"/>
        <w:rPr>
          <w:lang w:val="cs-CZ"/>
        </w:rPr>
      </w:pPr>
    </w:p>
    <w:p w14:paraId="571B4360" w14:textId="6FD92EBD" w:rsidR="00047669" w:rsidRDefault="00FD636C" w:rsidP="000666D4">
      <w:pPr>
        <w:jc w:val="both"/>
        <w:rPr>
          <w:lang w:val="cs-CZ"/>
        </w:rPr>
      </w:pPr>
      <w:r>
        <w:rPr>
          <w:lang w:val="cs-CZ"/>
        </w:rPr>
        <w:t xml:space="preserve">Výchozí podíl VŠÚ je určen rozdělením výchozích podílů </w:t>
      </w:r>
      <w:proofErr w:type="spellStart"/>
      <w:r>
        <w:rPr>
          <w:lang w:val="cs-CZ"/>
        </w:rPr>
        <w:t>PřF</w:t>
      </w:r>
      <w:proofErr w:type="spellEnd"/>
      <w:r>
        <w:rPr>
          <w:lang w:val="cs-CZ"/>
        </w:rPr>
        <w:t xml:space="preserve"> a LF s tím, že v případě </w:t>
      </w:r>
      <w:proofErr w:type="spellStart"/>
      <w:r>
        <w:rPr>
          <w:lang w:val="cs-CZ"/>
        </w:rPr>
        <w:t>PřF</w:t>
      </w:r>
      <w:proofErr w:type="spellEnd"/>
      <w:r>
        <w:rPr>
          <w:lang w:val="cs-CZ"/>
        </w:rPr>
        <w:t xml:space="preserve"> je část příslušející VŠÚ počítána podle autorských podílů jednotlivých zaměstnanců na výkonu </w:t>
      </w:r>
      <w:proofErr w:type="spellStart"/>
      <w:r>
        <w:rPr>
          <w:lang w:val="cs-CZ"/>
        </w:rPr>
        <w:t>PřF</w:t>
      </w:r>
      <w:proofErr w:type="spellEnd"/>
      <w:r>
        <w:rPr>
          <w:lang w:val="cs-CZ"/>
        </w:rPr>
        <w:t xml:space="preserve"> dle metodiky h16, kdežto v případě LF se jedná o procentuální podíl z výkonu ÚMTM. Pro rozdělení podílu </w:t>
      </w:r>
      <w:proofErr w:type="spellStart"/>
      <w:r>
        <w:rPr>
          <w:lang w:val="cs-CZ"/>
        </w:rPr>
        <w:t>PřF</w:t>
      </w:r>
      <w:proofErr w:type="spellEnd"/>
      <w:r>
        <w:rPr>
          <w:lang w:val="cs-CZ"/>
        </w:rPr>
        <w:t xml:space="preserve"> je potřeba rozhodnutí senátní komise, jak nakládat s autorskými po</w:t>
      </w:r>
      <w:r w:rsidR="00417797">
        <w:rPr>
          <w:lang w:val="cs-CZ"/>
        </w:rPr>
        <w:t xml:space="preserve">díly bývalých zaměstnanců výzkumných skupin center RCPTM a CRH, které přecházejí do VŠÚ. Dle indikativních seznamů z června 2019 lze rozdělit RIV body a podíl </w:t>
      </w:r>
      <w:proofErr w:type="spellStart"/>
      <w:r w:rsidR="00417797">
        <w:rPr>
          <w:lang w:val="cs-CZ"/>
        </w:rPr>
        <w:t>PřF</w:t>
      </w:r>
      <w:proofErr w:type="spellEnd"/>
      <w:r w:rsidR="00417797">
        <w:rPr>
          <w:lang w:val="cs-CZ"/>
        </w:rPr>
        <w:t xml:space="preserve"> do těchto kategorií:</w:t>
      </w:r>
    </w:p>
    <w:p w14:paraId="4BF4A94B" w14:textId="77777777" w:rsidR="00417797" w:rsidRDefault="00417797" w:rsidP="000666D4">
      <w:pPr>
        <w:jc w:val="both"/>
        <w:rPr>
          <w:lang w:val="cs-CZ"/>
        </w:rPr>
      </w:pPr>
    </w:p>
    <w:p w14:paraId="040F7FE9" w14:textId="77777777" w:rsidR="00417797" w:rsidRPr="00577449" w:rsidRDefault="00417797" w:rsidP="000666D4">
      <w:pPr>
        <w:jc w:val="both"/>
        <w:rPr>
          <w:lang w:val="cs-CZ"/>
        </w:rPr>
      </w:pPr>
    </w:p>
    <w:tbl>
      <w:tblPr>
        <w:tblStyle w:val="Stednseznam2zvraznn1"/>
        <w:tblW w:w="0" w:type="auto"/>
        <w:tblLook w:val="04A0" w:firstRow="1" w:lastRow="0" w:firstColumn="1" w:lastColumn="0" w:noHBand="0" w:noVBand="1"/>
      </w:tblPr>
      <w:tblGrid>
        <w:gridCol w:w="2943"/>
        <w:gridCol w:w="1560"/>
        <w:gridCol w:w="2126"/>
        <w:gridCol w:w="1887"/>
      </w:tblGrid>
      <w:tr w:rsidR="00417797" w14:paraId="5828318B" w14:textId="77777777" w:rsidTr="004177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43" w:type="dxa"/>
          </w:tcPr>
          <w:p w14:paraId="61AAC311" w14:textId="77777777" w:rsidR="00417797" w:rsidRDefault="00417797" w:rsidP="000666D4">
            <w:pPr>
              <w:jc w:val="both"/>
              <w:rPr>
                <w:lang w:val="cs-CZ"/>
              </w:rPr>
            </w:pPr>
          </w:p>
        </w:tc>
        <w:tc>
          <w:tcPr>
            <w:tcW w:w="1560" w:type="dxa"/>
          </w:tcPr>
          <w:p w14:paraId="6F0A5092" w14:textId="77777777" w:rsidR="00417797" w:rsidRDefault="00417797" w:rsidP="000666D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RIV body</w:t>
            </w:r>
          </w:p>
        </w:tc>
        <w:tc>
          <w:tcPr>
            <w:tcW w:w="2126" w:type="dxa"/>
          </w:tcPr>
          <w:p w14:paraId="79C1D25E" w14:textId="77777777" w:rsidR="00417797" w:rsidRDefault="00417797" w:rsidP="000666D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 xml:space="preserve">podíl v rámci </w:t>
            </w:r>
            <w:proofErr w:type="spellStart"/>
            <w:r>
              <w:rPr>
                <w:lang w:val="cs-CZ"/>
              </w:rPr>
              <w:t>PřF</w:t>
            </w:r>
            <w:proofErr w:type="spellEnd"/>
          </w:p>
        </w:tc>
        <w:tc>
          <w:tcPr>
            <w:tcW w:w="1887" w:type="dxa"/>
          </w:tcPr>
          <w:p w14:paraId="1BB05E8E" w14:textId="77777777" w:rsidR="00417797" w:rsidRDefault="00417797" w:rsidP="000666D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podíl na RVO UP</w:t>
            </w:r>
          </w:p>
        </w:tc>
      </w:tr>
      <w:tr w:rsidR="00417797" w14:paraId="338BD03C" w14:textId="77777777" w:rsidTr="00417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19019809" w14:textId="77777777" w:rsidR="00417797" w:rsidRDefault="00417797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VŠÚ</w:t>
            </w:r>
          </w:p>
        </w:tc>
        <w:tc>
          <w:tcPr>
            <w:tcW w:w="1560" w:type="dxa"/>
          </w:tcPr>
          <w:p w14:paraId="6D325261" w14:textId="77777777" w:rsidR="00417797" w:rsidRDefault="00417797" w:rsidP="00417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31941.33445</w:t>
            </w:r>
          </w:p>
        </w:tc>
        <w:tc>
          <w:tcPr>
            <w:tcW w:w="2126" w:type="dxa"/>
          </w:tcPr>
          <w:p w14:paraId="3E8F4D86" w14:textId="77777777" w:rsidR="00417797" w:rsidRDefault="00417797" w:rsidP="00417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27.14%</w:t>
            </w:r>
          </w:p>
        </w:tc>
        <w:tc>
          <w:tcPr>
            <w:tcW w:w="1887" w:type="dxa"/>
          </w:tcPr>
          <w:p w14:paraId="1A9DD1F1" w14:textId="77777777" w:rsidR="00417797" w:rsidRDefault="00417797" w:rsidP="00417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15.93%</w:t>
            </w:r>
          </w:p>
        </w:tc>
      </w:tr>
      <w:tr w:rsidR="00417797" w14:paraId="5E1B87C0" w14:textId="77777777" w:rsidTr="00417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15C064CB" w14:textId="77777777" w:rsidR="00417797" w:rsidRDefault="00417797" w:rsidP="000666D4">
            <w:pPr>
              <w:jc w:val="both"/>
              <w:rPr>
                <w:lang w:val="cs-CZ"/>
              </w:rPr>
            </w:pPr>
            <w:proofErr w:type="spellStart"/>
            <w:r>
              <w:rPr>
                <w:lang w:val="cs-CZ"/>
              </w:rPr>
              <w:t>PřF</w:t>
            </w:r>
            <w:proofErr w:type="spellEnd"/>
          </w:p>
        </w:tc>
        <w:tc>
          <w:tcPr>
            <w:tcW w:w="1560" w:type="dxa"/>
          </w:tcPr>
          <w:p w14:paraId="10E76ECE" w14:textId="77777777" w:rsidR="00417797" w:rsidRDefault="00417797" w:rsidP="00417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61667.50305</w:t>
            </w:r>
          </w:p>
        </w:tc>
        <w:tc>
          <w:tcPr>
            <w:tcW w:w="2126" w:type="dxa"/>
          </w:tcPr>
          <w:p w14:paraId="19928B03" w14:textId="77777777" w:rsidR="00417797" w:rsidRDefault="00417797" w:rsidP="00417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52.39%</w:t>
            </w:r>
          </w:p>
        </w:tc>
        <w:tc>
          <w:tcPr>
            <w:tcW w:w="1887" w:type="dxa"/>
          </w:tcPr>
          <w:p w14:paraId="25EBB215" w14:textId="77777777" w:rsidR="00417797" w:rsidRDefault="00417797" w:rsidP="00417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30.76%</w:t>
            </w:r>
          </w:p>
        </w:tc>
      </w:tr>
      <w:tr w:rsidR="00417797" w14:paraId="313A5D34" w14:textId="77777777" w:rsidTr="00417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6133AC76" w14:textId="77777777" w:rsidR="00417797" w:rsidRDefault="00417797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bývalí zaměstnanci (centra)</w:t>
            </w:r>
          </w:p>
        </w:tc>
        <w:tc>
          <w:tcPr>
            <w:tcW w:w="1560" w:type="dxa"/>
          </w:tcPr>
          <w:p w14:paraId="166C114C" w14:textId="77777777" w:rsidR="00417797" w:rsidRDefault="00417797" w:rsidP="00417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7665.75692</w:t>
            </w:r>
          </w:p>
        </w:tc>
        <w:tc>
          <w:tcPr>
            <w:tcW w:w="2126" w:type="dxa"/>
          </w:tcPr>
          <w:p w14:paraId="4AE04FB3" w14:textId="77777777" w:rsidR="00417797" w:rsidRDefault="00417797" w:rsidP="00417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6.51%</w:t>
            </w:r>
          </w:p>
        </w:tc>
        <w:tc>
          <w:tcPr>
            <w:tcW w:w="1887" w:type="dxa"/>
          </w:tcPr>
          <w:p w14:paraId="1A5E5D9F" w14:textId="77777777" w:rsidR="00417797" w:rsidRDefault="00417797" w:rsidP="00417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3.82%</w:t>
            </w:r>
          </w:p>
        </w:tc>
      </w:tr>
      <w:tr w:rsidR="00417797" w14:paraId="36D6404B" w14:textId="77777777" w:rsidTr="00417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7164F76" w14:textId="77777777" w:rsidR="00417797" w:rsidRDefault="00417797" w:rsidP="00417797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bývalí zaměstnanci (</w:t>
            </w:r>
            <w:proofErr w:type="spellStart"/>
            <w:r>
              <w:rPr>
                <w:lang w:val="cs-CZ"/>
              </w:rPr>
              <w:t>PřF</w:t>
            </w:r>
            <w:proofErr w:type="spellEnd"/>
            <w:r>
              <w:rPr>
                <w:lang w:val="cs-CZ"/>
              </w:rPr>
              <w:t>)</w:t>
            </w:r>
          </w:p>
        </w:tc>
        <w:tc>
          <w:tcPr>
            <w:tcW w:w="1560" w:type="dxa"/>
          </w:tcPr>
          <w:p w14:paraId="1DF324DB" w14:textId="77777777" w:rsidR="00417797" w:rsidRDefault="00417797" w:rsidP="00417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16431.79051</w:t>
            </w:r>
          </w:p>
        </w:tc>
        <w:tc>
          <w:tcPr>
            <w:tcW w:w="2126" w:type="dxa"/>
          </w:tcPr>
          <w:p w14:paraId="13D9A7E0" w14:textId="77777777" w:rsidR="00417797" w:rsidRDefault="00417797" w:rsidP="00417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13.96%</w:t>
            </w:r>
          </w:p>
        </w:tc>
        <w:tc>
          <w:tcPr>
            <w:tcW w:w="1887" w:type="dxa"/>
          </w:tcPr>
          <w:p w14:paraId="2009E656" w14:textId="77777777" w:rsidR="00417797" w:rsidRDefault="00417797" w:rsidP="00417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8.20%</w:t>
            </w:r>
          </w:p>
        </w:tc>
      </w:tr>
      <w:tr w:rsidR="00417797" w14:paraId="24A340EC" w14:textId="77777777" w:rsidTr="00417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546D48EC" w14:textId="77777777" w:rsidR="00417797" w:rsidRDefault="00417797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celkem</w:t>
            </w:r>
          </w:p>
        </w:tc>
        <w:tc>
          <w:tcPr>
            <w:tcW w:w="1560" w:type="dxa"/>
          </w:tcPr>
          <w:p w14:paraId="7F93711A" w14:textId="77777777" w:rsidR="00417797" w:rsidRDefault="00417797" w:rsidP="00417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117706.3849</w:t>
            </w:r>
          </w:p>
        </w:tc>
        <w:tc>
          <w:tcPr>
            <w:tcW w:w="2126" w:type="dxa"/>
          </w:tcPr>
          <w:p w14:paraId="5666FDD0" w14:textId="77777777" w:rsidR="00417797" w:rsidRDefault="00417797" w:rsidP="00417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100.00%</w:t>
            </w:r>
          </w:p>
        </w:tc>
        <w:tc>
          <w:tcPr>
            <w:tcW w:w="1887" w:type="dxa"/>
          </w:tcPr>
          <w:p w14:paraId="4823E8B5" w14:textId="77777777" w:rsidR="00417797" w:rsidRDefault="00417797" w:rsidP="00417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58.71%</w:t>
            </w:r>
          </w:p>
        </w:tc>
      </w:tr>
    </w:tbl>
    <w:p w14:paraId="25FE570E" w14:textId="77777777" w:rsidR="00417797" w:rsidRDefault="00417797" w:rsidP="000666D4">
      <w:pPr>
        <w:jc w:val="both"/>
        <w:rPr>
          <w:lang w:val="cs-CZ"/>
        </w:rPr>
      </w:pPr>
    </w:p>
    <w:p w14:paraId="295E8C34" w14:textId="77777777" w:rsidR="00417797" w:rsidRDefault="009A09F5" w:rsidP="000666D4">
      <w:pPr>
        <w:jc w:val="both"/>
        <w:rPr>
          <w:lang w:val="cs-CZ"/>
        </w:rPr>
      </w:pPr>
      <w:r>
        <w:rPr>
          <w:lang w:val="cs-CZ"/>
        </w:rPr>
        <w:t xml:space="preserve">Toto rozdělení RIV bodů </w:t>
      </w:r>
      <w:proofErr w:type="spellStart"/>
      <w:r>
        <w:rPr>
          <w:lang w:val="cs-CZ"/>
        </w:rPr>
        <w:t>PřF</w:t>
      </w:r>
      <w:proofErr w:type="spellEnd"/>
      <w:r>
        <w:rPr>
          <w:lang w:val="cs-CZ"/>
        </w:rPr>
        <w:t xml:space="preserve"> bude upřesněno dle nových seznamů dodaných řediteli center v lednu 2020. Rozdělení podílu LF dle h16 bude provedeno na základě vnitřního metodiky LF pro rozdělení RIV bodů v h16 mezi ÚMTM a ostatní jednotky LF. Tento údaj bude upřesněn jakmile budou příslušné materiály z LF k dispozici.</w:t>
      </w:r>
    </w:p>
    <w:p w14:paraId="2B3571BF" w14:textId="77777777" w:rsidR="009A09F5" w:rsidRDefault="009A09F5" w:rsidP="000666D4">
      <w:pPr>
        <w:jc w:val="both"/>
        <w:rPr>
          <w:lang w:val="cs-CZ"/>
        </w:rPr>
      </w:pPr>
    </w:p>
    <w:p w14:paraId="3C597179" w14:textId="77777777" w:rsidR="009A09F5" w:rsidRDefault="009A09F5" w:rsidP="000666D4">
      <w:pPr>
        <w:jc w:val="both"/>
        <w:rPr>
          <w:b/>
          <w:lang w:val="cs-CZ"/>
        </w:rPr>
      </w:pPr>
      <w:r w:rsidRPr="009A09F5">
        <w:rPr>
          <w:b/>
          <w:lang w:val="cs-CZ"/>
        </w:rPr>
        <w:lastRenderedPageBreak/>
        <w:t>Změna celkové produkce součástí UP dle Pilíře I navrhované vnitřní metodiky</w:t>
      </w:r>
    </w:p>
    <w:p w14:paraId="4E62F491" w14:textId="77777777" w:rsidR="009A09F5" w:rsidRDefault="009A09F5" w:rsidP="000666D4">
      <w:pPr>
        <w:jc w:val="both"/>
        <w:rPr>
          <w:lang w:val="cs-CZ"/>
        </w:rPr>
      </w:pPr>
      <w:r>
        <w:rPr>
          <w:lang w:val="cs-CZ"/>
        </w:rPr>
        <w:t>V pilíři I jsou sledovány publikační výsledky</w:t>
      </w:r>
      <w:r w:rsidR="00D41545">
        <w:rPr>
          <w:lang w:val="cs-CZ"/>
        </w:rPr>
        <w:t xml:space="preserve"> (</w:t>
      </w:r>
      <w:proofErr w:type="spellStart"/>
      <w:r w:rsidR="00D41545">
        <w:rPr>
          <w:lang w:val="cs-CZ"/>
        </w:rPr>
        <w:t>J</w:t>
      </w:r>
      <w:r w:rsidR="00D41545" w:rsidRPr="00D41545">
        <w:rPr>
          <w:vertAlign w:val="subscript"/>
          <w:lang w:val="cs-CZ"/>
        </w:rPr>
        <w:t>imp</w:t>
      </w:r>
      <w:proofErr w:type="spellEnd"/>
      <w:r w:rsidR="00D41545">
        <w:rPr>
          <w:lang w:val="cs-CZ"/>
        </w:rPr>
        <w:t xml:space="preserve">, </w:t>
      </w:r>
      <w:proofErr w:type="spellStart"/>
      <w:r w:rsidR="00D41545">
        <w:rPr>
          <w:lang w:val="cs-CZ"/>
        </w:rPr>
        <w:t>J</w:t>
      </w:r>
      <w:r w:rsidR="00D41545" w:rsidRPr="00D41545">
        <w:rPr>
          <w:vertAlign w:val="subscript"/>
          <w:lang w:val="cs-CZ"/>
        </w:rPr>
        <w:t>sc</w:t>
      </w:r>
      <w:proofErr w:type="spellEnd"/>
      <w:r w:rsidR="00D41545">
        <w:rPr>
          <w:lang w:val="cs-CZ"/>
        </w:rPr>
        <w:t xml:space="preserve">, </w:t>
      </w:r>
      <w:proofErr w:type="spellStart"/>
      <w:r w:rsidR="00D41545">
        <w:rPr>
          <w:lang w:val="cs-CZ"/>
        </w:rPr>
        <w:t>J</w:t>
      </w:r>
      <w:r w:rsidR="00D41545" w:rsidRPr="00D41545">
        <w:rPr>
          <w:vertAlign w:val="subscript"/>
          <w:lang w:val="cs-CZ"/>
        </w:rPr>
        <w:t>ost</w:t>
      </w:r>
      <w:proofErr w:type="spellEnd"/>
      <w:r w:rsidR="00D41545">
        <w:rPr>
          <w:lang w:val="cs-CZ"/>
        </w:rPr>
        <w:t xml:space="preserve">), </w:t>
      </w:r>
      <w:proofErr w:type="spellStart"/>
      <w:r w:rsidR="00D41545">
        <w:rPr>
          <w:lang w:val="cs-CZ"/>
        </w:rPr>
        <w:t>nebibliometrizovatelné</w:t>
      </w:r>
      <w:proofErr w:type="spellEnd"/>
      <w:r w:rsidR="00D41545">
        <w:rPr>
          <w:lang w:val="cs-CZ"/>
        </w:rPr>
        <w:t xml:space="preserve"> výsledky (B – monografie, C – kapitoly v monografiích a ve vybraných případech D – příspěvky ve sborníku) a výsledky aplikovaného výzkumu. </w:t>
      </w:r>
    </w:p>
    <w:p w14:paraId="454D2EB3" w14:textId="79E30410" w:rsidR="00D41545" w:rsidRDefault="00D41545" w:rsidP="000666D4">
      <w:pPr>
        <w:jc w:val="both"/>
        <w:rPr>
          <w:lang w:val="cs-CZ"/>
        </w:rPr>
      </w:pPr>
      <w:r>
        <w:rPr>
          <w:lang w:val="cs-CZ"/>
        </w:rPr>
        <w:t xml:space="preserve">V tuto chvíli jsou </w:t>
      </w:r>
      <w:r w:rsidR="006338A5">
        <w:rPr>
          <w:lang w:val="cs-CZ"/>
        </w:rPr>
        <w:t xml:space="preserve">plně </w:t>
      </w:r>
      <w:r>
        <w:rPr>
          <w:lang w:val="cs-CZ"/>
        </w:rPr>
        <w:t>spočítány publikační výsledky (</w:t>
      </w:r>
      <w:proofErr w:type="spellStart"/>
      <w:r>
        <w:rPr>
          <w:lang w:val="cs-CZ"/>
        </w:rPr>
        <w:t>J</w:t>
      </w:r>
      <w:r w:rsidRPr="00D41545">
        <w:rPr>
          <w:vertAlign w:val="subscript"/>
          <w:lang w:val="cs-CZ"/>
        </w:rPr>
        <w:t>imp</w:t>
      </w:r>
      <w:proofErr w:type="spellEnd"/>
      <w:r>
        <w:rPr>
          <w:lang w:val="cs-CZ"/>
        </w:rPr>
        <w:t xml:space="preserve">, </w:t>
      </w:r>
      <w:proofErr w:type="spellStart"/>
      <w:r>
        <w:rPr>
          <w:lang w:val="cs-CZ"/>
        </w:rPr>
        <w:t>J</w:t>
      </w:r>
      <w:r w:rsidRPr="00D41545">
        <w:rPr>
          <w:vertAlign w:val="subscript"/>
          <w:lang w:val="cs-CZ"/>
        </w:rPr>
        <w:t>sc</w:t>
      </w:r>
      <w:proofErr w:type="spellEnd"/>
      <w:r>
        <w:rPr>
          <w:lang w:val="cs-CZ"/>
        </w:rPr>
        <w:t xml:space="preserve">, </w:t>
      </w:r>
      <w:proofErr w:type="spellStart"/>
      <w:r>
        <w:rPr>
          <w:lang w:val="cs-CZ"/>
        </w:rPr>
        <w:t>J</w:t>
      </w:r>
      <w:r w:rsidRPr="00D41545">
        <w:rPr>
          <w:vertAlign w:val="subscript"/>
          <w:lang w:val="cs-CZ"/>
        </w:rPr>
        <w:t>ost</w:t>
      </w:r>
      <w:proofErr w:type="spellEnd"/>
      <w:r>
        <w:rPr>
          <w:lang w:val="cs-CZ"/>
        </w:rPr>
        <w:t xml:space="preserve">) a výsledky typu D. Celková produkce fakult v referenčním a hodnoceném období a procentuální růst tohoto výkonu v typech výsledku </w:t>
      </w:r>
      <w:proofErr w:type="spellStart"/>
      <w:r>
        <w:rPr>
          <w:lang w:val="cs-CZ"/>
        </w:rPr>
        <w:t>J</w:t>
      </w:r>
      <w:r w:rsidRPr="00D41545">
        <w:rPr>
          <w:vertAlign w:val="subscript"/>
          <w:lang w:val="cs-CZ"/>
        </w:rPr>
        <w:t>imp</w:t>
      </w:r>
      <w:proofErr w:type="spellEnd"/>
      <w:r>
        <w:rPr>
          <w:lang w:val="cs-CZ"/>
        </w:rPr>
        <w:t xml:space="preserve">, </w:t>
      </w:r>
      <w:proofErr w:type="spellStart"/>
      <w:r>
        <w:rPr>
          <w:lang w:val="cs-CZ"/>
        </w:rPr>
        <w:t>J</w:t>
      </w:r>
      <w:r w:rsidRPr="00D41545">
        <w:rPr>
          <w:vertAlign w:val="subscript"/>
          <w:lang w:val="cs-CZ"/>
        </w:rPr>
        <w:t>sc</w:t>
      </w:r>
      <w:proofErr w:type="spellEnd"/>
      <w:r>
        <w:rPr>
          <w:lang w:val="cs-CZ"/>
        </w:rPr>
        <w:t xml:space="preserve">, </w:t>
      </w:r>
      <w:proofErr w:type="spellStart"/>
      <w:r>
        <w:rPr>
          <w:lang w:val="cs-CZ"/>
        </w:rPr>
        <w:t>J</w:t>
      </w:r>
      <w:r w:rsidRPr="00D41545">
        <w:rPr>
          <w:vertAlign w:val="subscript"/>
          <w:lang w:val="cs-CZ"/>
        </w:rPr>
        <w:t>ost</w:t>
      </w:r>
      <w:proofErr w:type="spellEnd"/>
      <w:r w:rsidRPr="00D41545">
        <w:rPr>
          <w:lang w:val="cs-CZ"/>
        </w:rPr>
        <w:t xml:space="preserve"> </w:t>
      </w:r>
      <w:r>
        <w:rPr>
          <w:lang w:val="cs-CZ"/>
        </w:rPr>
        <w:t>a D je shrnuta v následující tabulce:</w:t>
      </w:r>
    </w:p>
    <w:p w14:paraId="3D056291" w14:textId="77777777" w:rsidR="00D41545" w:rsidRDefault="00D41545" w:rsidP="000666D4">
      <w:pPr>
        <w:jc w:val="both"/>
        <w:rPr>
          <w:lang w:val="cs-CZ"/>
        </w:rPr>
      </w:pPr>
    </w:p>
    <w:tbl>
      <w:tblPr>
        <w:tblStyle w:val="Stednseznam2zvraznn1"/>
        <w:tblW w:w="0" w:type="auto"/>
        <w:tblLayout w:type="fixed"/>
        <w:tblLook w:val="04A0" w:firstRow="1" w:lastRow="0" w:firstColumn="1" w:lastColumn="0" w:noHBand="0" w:noVBand="1"/>
      </w:tblPr>
      <w:tblGrid>
        <w:gridCol w:w="843"/>
        <w:gridCol w:w="852"/>
        <w:gridCol w:w="853"/>
        <w:gridCol w:w="852"/>
        <w:gridCol w:w="853"/>
        <w:gridCol w:w="852"/>
        <w:gridCol w:w="853"/>
        <w:gridCol w:w="852"/>
        <w:gridCol w:w="853"/>
        <w:gridCol w:w="853"/>
      </w:tblGrid>
      <w:tr w:rsidR="00666CAF" w14:paraId="29858C31" w14:textId="77777777" w:rsidTr="00666C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3" w:type="dxa"/>
          </w:tcPr>
          <w:p w14:paraId="12A330D7" w14:textId="77777777" w:rsidR="00666CAF" w:rsidRDefault="00666CAF" w:rsidP="000666D4">
            <w:pPr>
              <w:jc w:val="both"/>
              <w:rPr>
                <w:lang w:val="cs-CZ"/>
              </w:rPr>
            </w:pPr>
          </w:p>
        </w:tc>
        <w:tc>
          <w:tcPr>
            <w:tcW w:w="852" w:type="dxa"/>
          </w:tcPr>
          <w:p w14:paraId="19956B9E" w14:textId="77777777" w:rsidR="00666CAF" w:rsidRPr="00374071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proofErr w:type="spellStart"/>
            <w:r>
              <w:rPr>
                <w:lang w:val="cs-CZ"/>
              </w:rPr>
              <w:t>J</w:t>
            </w:r>
            <w:r w:rsidRPr="00374071">
              <w:rPr>
                <w:vertAlign w:val="subscript"/>
                <w:lang w:val="cs-CZ"/>
              </w:rPr>
              <w:t>imp</w:t>
            </w:r>
            <w:proofErr w:type="spellEnd"/>
            <w:r w:rsidRPr="00374071">
              <w:rPr>
                <w:vertAlign w:val="subscript"/>
                <w:lang w:val="cs-CZ"/>
              </w:rPr>
              <w:t>/</w:t>
            </w:r>
            <w:proofErr w:type="spellStart"/>
            <w:r>
              <w:rPr>
                <w:vertAlign w:val="subscript"/>
                <w:lang w:val="cs-CZ"/>
              </w:rPr>
              <w:t>sc</w:t>
            </w:r>
            <w:proofErr w:type="spellEnd"/>
          </w:p>
          <w:p w14:paraId="144E5921" w14:textId="77777777" w:rsidR="00666CAF" w:rsidRPr="00374071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374071">
              <w:rPr>
                <w:lang w:val="cs-CZ"/>
              </w:rPr>
              <w:t>11-15</w:t>
            </w:r>
          </w:p>
        </w:tc>
        <w:tc>
          <w:tcPr>
            <w:tcW w:w="853" w:type="dxa"/>
          </w:tcPr>
          <w:p w14:paraId="1CBDFA77" w14:textId="77777777" w:rsidR="00666CAF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proofErr w:type="spellStart"/>
            <w:r>
              <w:rPr>
                <w:lang w:val="cs-CZ"/>
              </w:rPr>
              <w:t>J</w:t>
            </w:r>
            <w:r>
              <w:rPr>
                <w:vertAlign w:val="subscript"/>
                <w:lang w:val="cs-CZ"/>
              </w:rPr>
              <w:t>ost</w:t>
            </w:r>
            <w:proofErr w:type="spellEnd"/>
          </w:p>
          <w:p w14:paraId="3F3E78E7" w14:textId="77777777" w:rsidR="00666CAF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374071">
              <w:rPr>
                <w:lang w:val="cs-CZ"/>
              </w:rPr>
              <w:t>11-15</w:t>
            </w:r>
          </w:p>
        </w:tc>
        <w:tc>
          <w:tcPr>
            <w:tcW w:w="852" w:type="dxa"/>
          </w:tcPr>
          <w:p w14:paraId="5AB10F4E" w14:textId="77777777" w:rsidR="00666CAF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D</w:t>
            </w:r>
          </w:p>
          <w:p w14:paraId="55A517EC" w14:textId="77777777" w:rsidR="00666CAF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374071">
              <w:rPr>
                <w:lang w:val="cs-CZ"/>
              </w:rPr>
              <w:t>11-15</w:t>
            </w:r>
          </w:p>
        </w:tc>
        <w:tc>
          <w:tcPr>
            <w:tcW w:w="853" w:type="dxa"/>
          </w:tcPr>
          <w:p w14:paraId="3993AADA" w14:textId="77777777" w:rsidR="00666CAF" w:rsidRPr="00374071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proofErr w:type="spellStart"/>
            <w:r>
              <w:rPr>
                <w:lang w:val="cs-CZ"/>
              </w:rPr>
              <w:t>J</w:t>
            </w:r>
            <w:r w:rsidRPr="00374071">
              <w:rPr>
                <w:vertAlign w:val="subscript"/>
                <w:lang w:val="cs-CZ"/>
              </w:rPr>
              <w:t>imp</w:t>
            </w:r>
            <w:proofErr w:type="spellEnd"/>
            <w:r w:rsidRPr="00374071">
              <w:rPr>
                <w:vertAlign w:val="subscript"/>
                <w:lang w:val="cs-CZ"/>
              </w:rPr>
              <w:t>/</w:t>
            </w:r>
            <w:proofErr w:type="spellStart"/>
            <w:r>
              <w:rPr>
                <w:vertAlign w:val="subscript"/>
                <w:lang w:val="cs-CZ"/>
              </w:rPr>
              <w:t>sc</w:t>
            </w:r>
            <w:proofErr w:type="spellEnd"/>
          </w:p>
          <w:p w14:paraId="710E392C" w14:textId="77777777" w:rsidR="00666CAF" w:rsidRPr="00374071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374071">
              <w:rPr>
                <w:lang w:val="cs-CZ"/>
              </w:rPr>
              <w:t>1</w:t>
            </w:r>
            <w:r>
              <w:rPr>
                <w:lang w:val="cs-CZ"/>
              </w:rPr>
              <w:t>4</w:t>
            </w:r>
            <w:r w:rsidRPr="00374071">
              <w:rPr>
                <w:lang w:val="cs-CZ"/>
              </w:rPr>
              <w:t>-1</w:t>
            </w:r>
            <w:r>
              <w:rPr>
                <w:lang w:val="cs-CZ"/>
              </w:rPr>
              <w:t>8</w:t>
            </w:r>
          </w:p>
        </w:tc>
        <w:tc>
          <w:tcPr>
            <w:tcW w:w="852" w:type="dxa"/>
          </w:tcPr>
          <w:p w14:paraId="49B42DDE" w14:textId="77777777" w:rsidR="00666CAF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proofErr w:type="spellStart"/>
            <w:r>
              <w:rPr>
                <w:lang w:val="cs-CZ"/>
              </w:rPr>
              <w:t>J</w:t>
            </w:r>
            <w:r>
              <w:rPr>
                <w:vertAlign w:val="subscript"/>
                <w:lang w:val="cs-CZ"/>
              </w:rPr>
              <w:t>ost</w:t>
            </w:r>
            <w:proofErr w:type="spellEnd"/>
          </w:p>
          <w:p w14:paraId="2050723F" w14:textId="77777777" w:rsidR="00666CAF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14-18</w:t>
            </w:r>
          </w:p>
        </w:tc>
        <w:tc>
          <w:tcPr>
            <w:tcW w:w="853" w:type="dxa"/>
          </w:tcPr>
          <w:p w14:paraId="493B9122" w14:textId="77777777" w:rsidR="00666CAF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D</w:t>
            </w:r>
          </w:p>
          <w:p w14:paraId="0D3BB2AD" w14:textId="77777777" w:rsidR="00666CAF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14-18</w:t>
            </w:r>
          </w:p>
        </w:tc>
        <w:tc>
          <w:tcPr>
            <w:tcW w:w="852" w:type="dxa"/>
          </w:tcPr>
          <w:p w14:paraId="46424AD9" w14:textId="77777777" w:rsidR="00666CAF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suma</w:t>
            </w:r>
          </w:p>
          <w:p w14:paraId="783E42EA" w14:textId="77777777" w:rsidR="00666CAF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374071">
              <w:rPr>
                <w:lang w:val="cs-CZ"/>
              </w:rPr>
              <w:t>1</w:t>
            </w:r>
            <w:r>
              <w:rPr>
                <w:lang w:val="cs-CZ"/>
              </w:rPr>
              <w:t>1</w:t>
            </w:r>
            <w:r w:rsidRPr="00374071">
              <w:rPr>
                <w:lang w:val="cs-CZ"/>
              </w:rPr>
              <w:t>-1</w:t>
            </w:r>
            <w:r>
              <w:rPr>
                <w:lang w:val="cs-CZ"/>
              </w:rPr>
              <w:t>5</w:t>
            </w:r>
          </w:p>
        </w:tc>
        <w:tc>
          <w:tcPr>
            <w:tcW w:w="853" w:type="dxa"/>
          </w:tcPr>
          <w:p w14:paraId="079A1448" w14:textId="77777777" w:rsidR="00666CAF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suma</w:t>
            </w:r>
          </w:p>
          <w:p w14:paraId="3D08B8A4" w14:textId="77777777" w:rsidR="00666CAF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374071">
              <w:rPr>
                <w:lang w:val="cs-CZ"/>
              </w:rPr>
              <w:t>1</w:t>
            </w:r>
            <w:r>
              <w:rPr>
                <w:lang w:val="cs-CZ"/>
              </w:rPr>
              <w:t>4</w:t>
            </w:r>
            <w:r w:rsidRPr="00374071">
              <w:rPr>
                <w:lang w:val="cs-CZ"/>
              </w:rPr>
              <w:t>-1</w:t>
            </w:r>
            <w:r>
              <w:rPr>
                <w:lang w:val="cs-CZ"/>
              </w:rPr>
              <w:t>8</w:t>
            </w:r>
          </w:p>
        </w:tc>
        <w:tc>
          <w:tcPr>
            <w:tcW w:w="853" w:type="dxa"/>
          </w:tcPr>
          <w:p w14:paraId="12A0450C" w14:textId="77777777" w:rsidR="00666CAF" w:rsidRPr="00686DE7" w:rsidRDefault="00666CAF" w:rsidP="00686D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cs-CZ"/>
              </w:rPr>
            </w:pPr>
            <w:r w:rsidRPr="00686DE7">
              <w:rPr>
                <w:b/>
                <w:lang w:val="cs-CZ"/>
              </w:rPr>
              <w:t>růst</w:t>
            </w:r>
          </w:p>
        </w:tc>
      </w:tr>
      <w:tr w:rsidR="00374071" w14:paraId="79E47C7F" w14:textId="77777777" w:rsidTr="00666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035FFB70" w14:textId="77777777" w:rsidR="00374071" w:rsidRDefault="00374071" w:rsidP="000666D4">
            <w:pPr>
              <w:jc w:val="both"/>
              <w:rPr>
                <w:lang w:val="cs-CZ"/>
              </w:rPr>
            </w:pPr>
            <w:proofErr w:type="spellStart"/>
            <w:r>
              <w:rPr>
                <w:lang w:val="cs-CZ"/>
              </w:rPr>
              <w:t>PřF</w:t>
            </w:r>
            <w:proofErr w:type="spellEnd"/>
          </w:p>
        </w:tc>
        <w:tc>
          <w:tcPr>
            <w:tcW w:w="852" w:type="dxa"/>
          </w:tcPr>
          <w:p w14:paraId="143D9DAE" w14:textId="77777777" w:rsidR="00374071" w:rsidRDefault="00374071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65941</w:t>
            </w:r>
          </w:p>
        </w:tc>
        <w:tc>
          <w:tcPr>
            <w:tcW w:w="853" w:type="dxa"/>
          </w:tcPr>
          <w:p w14:paraId="1AD6D336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2" w:type="dxa"/>
          </w:tcPr>
          <w:p w14:paraId="3E717E88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1100</w:t>
            </w:r>
          </w:p>
        </w:tc>
        <w:tc>
          <w:tcPr>
            <w:tcW w:w="853" w:type="dxa"/>
          </w:tcPr>
          <w:p w14:paraId="230FFEED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90140</w:t>
            </w:r>
          </w:p>
        </w:tc>
        <w:tc>
          <w:tcPr>
            <w:tcW w:w="852" w:type="dxa"/>
          </w:tcPr>
          <w:p w14:paraId="37B38392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3" w:type="dxa"/>
          </w:tcPr>
          <w:p w14:paraId="7CCB37BA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535</w:t>
            </w:r>
          </w:p>
        </w:tc>
        <w:tc>
          <w:tcPr>
            <w:tcW w:w="852" w:type="dxa"/>
          </w:tcPr>
          <w:p w14:paraId="1B25C38C" w14:textId="77777777" w:rsidR="00374071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67041</w:t>
            </w:r>
          </w:p>
        </w:tc>
        <w:tc>
          <w:tcPr>
            <w:tcW w:w="853" w:type="dxa"/>
          </w:tcPr>
          <w:p w14:paraId="12CB97C5" w14:textId="77777777" w:rsidR="00374071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90675</w:t>
            </w:r>
          </w:p>
        </w:tc>
        <w:tc>
          <w:tcPr>
            <w:tcW w:w="853" w:type="dxa"/>
          </w:tcPr>
          <w:p w14:paraId="278A261A" w14:textId="77777777" w:rsidR="00374071" w:rsidRPr="00686DE7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cs-CZ"/>
              </w:rPr>
            </w:pPr>
            <w:r w:rsidRPr="00686DE7">
              <w:rPr>
                <w:b/>
                <w:lang w:val="cs-CZ"/>
              </w:rPr>
              <w:t>35.3%</w:t>
            </w:r>
          </w:p>
        </w:tc>
      </w:tr>
      <w:tr w:rsidR="00374071" w14:paraId="23C58BC9" w14:textId="77777777" w:rsidTr="00666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4D891829" w14:textId="77777777" w:rsidR="00374071" w:rsidRDefault="00374071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LF</w:t>
            </w:r>
          </w:p>
        </w:tc>
        <w:tc>
          <w:tcPr>
            <w:tcW w:w="852" w:type="dxa"/>
          </w:tcPr>
          <w:p w14:paraId="1F70B8D5" w14:textId="77777777" w:rsidR="00374071" w:rsidRDefault="00374071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21950</w:t>
            </w:r>
          </w:p>
        </w:tc>
        <w:tc>
          <w:tcPr>
            <w:tcW w:w="853" w:type="dxa"/>
          </w:tcPr>
          <w:p w14:paraId="426F9859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2" w:type="dxa"/>
          </w:tcPr>
          <w:p w14:paraId="4E34676C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3" w:type="dxa"/>
          </w:tcPr>
          <w:p w14:paraId="4B7072F3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26417</w:t>
            </w:r>
          </w:p>
        </w:tc>
        <w:tc>
          <w:tcPr>
            <w:tcW w:w="852" w:type="dxa"/>
          </w:tcPr>
          <w:p w14:paraId="33F6B084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3" w:type="dxa"/>
          </w:tcPr>
          <w:p w14:paraId="19DE826F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2" w:type="dxa"/>
          </w:tcPr>
          <w:p w14:paraId="083EA4EF" w14:textId="77777777" w:rsidR="00374071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21950</w:t>
            </w:r>
          </w:p>
        </w:tc>
        <w:tc>
          <w:tcPr>
            <w:tcW w:w="853" w:type="dxa"/>
          </w:tcPr>
          <w:p w14:paraId="664A18AC" w14:textId="77777777" w:rsidR="00374071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26417</w:t>
            </w:r>
          </w:p>
        </w:tc>
        <w:tc>
          <w:tcPr>
            <w:tcW w:w="853" w:type="dxa"/>
          </w:tcPr>
          <w:p w14:paraId="43A172FF" w14:textId="77777777" w:rsidR="00374071" w:rsidRPr="00686DE7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cs-CZ"/>
              </w:rPr>
            </w:pPr>
            <w:r w:rsidRPr="00686DE7">
              <w:rPr>
                <w:b/>
                <w:lang w:val="cs-CZ"/>
              </w:rPr>
              <w:t>20.4%</w:t>
            </w:r>
          </w:p>
        </w:tc>
      </w:tr>
      <w:tr w:rsidR="00374071" w14:paraId="55A7D28D" w14:textId="77777777" w:rsidTr="00666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6C906E1E" w14:textId="77777777" w:rsidR="00374071" w:rsidRDefault="00374071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FF</w:t>
            </w:r>
          </w:p>
        </w:tc>
        <w:tc>
          <w:tcPr>
            <w:tcW w:w="852" w:type="dxa"/>
          </w:tcPr>
          <w:p w14:paraId="7BDD5567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7077</w:t>
            </w:r>
          </w:p>
        </w:tc>
        <w:tc>
          <w:tcPr>
            <w:tcW w:w="853" w:type="dxa"/>
          </w:tcPr>
          <w:p w14:paraId="75224ED2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1820</w:t>
            </w:r>
          </w:p>
        </w:tc>
        <w:tc>
          <w:tcPr>
            <w:tcW w:w="852" w:type="dxa"/>
          </w:tcPr>
          <w:p w14:paraId="4036B89D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3" w:type="dxa"/>
          </w:tcPr>
          <w:p w14:paraId="0E552F49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9662</w:t>
            </w:r>
          </w:p>
        </w:tc>
        <w:tc>
          <w:tcPr>
            <w:tcW w:w="852" w:type="dxa"/>
          </w:tcPr>
          <w:p w14:paraId="7503CB99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2537</w:t>
            </w:r>
          </w:p>
        </w:tc>
        <w:tc>
          <w:tcPr>
            <w:tcW w:w="853" w:type="dxa"/>
          </w:tcPr>
          <w:p w14:paraId="2DA6A2BF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2" w:type="dxa"/>
          </w:tcPr>
          <w:p w14:paraId="6CBE3E18" w14:textId="77777777" w:rsidR="00374071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8897</w:t>
            </w:r>
          </w:p>
        </w:tc>
        <w:tc>
          <w:tcPr>
            <w:tcW w:w="853" w:type="dxa"/>
          </w:tcPr>
          <w:p w14:paraId="59610E36" w14:textId="77777777" w:rsidR="00374071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12199</w:t>
            </w:r>
          </w:p>
        </w:tc>
        <w:tc>
          <w:tcPr>
            <w:tcW w:w="853" w:type="dxa"/>
          </w:tcPr>
          <w:p w14:paraId="7B6B123E" w14:textId="77777777" w:rsidR="00374071" w:rsidRPr="00686DE7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cs-CZ"/>
              </w:rPr>
            </w:pPr>
            <w:r w:rsidRPr="00686DE7">
              <w:rPr>
                <w:b/>
                <w:lang w:val="cs-CZ"/>
              </w:rPr>
              <w:t>37.1%</w:t>
            </w:r>
          </w:p>
        </w:tc>
      </w:tr>
      <w:tr w:rsidR="00374071" w14:paraId="26DBFC0C" w14:textId="77777777" w:rsidTr="00666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22455925" w14:textId="77777777" w:rsidR="00374071" w:rsidRDefault="00374071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CMTF</w:t>
            </w:r>
          </w:p>
        </w:tc>
        <w:tc>
          <w:tcPr>
            <w:tcW w:w="852" w:type="dxa"/>
          </w:tcPr>
          <w:p w14:paraId="5979A5D3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4710</w:t>
            </w:r>
          </w:p>
        </w:tc>
        <w:tc>
          <w:tcPr>
            <w:tcW w:w="853" w:type="dxa"/>
          </w:tcPr>
          <w:p w14:paraId="2ADB7123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2" w:type="dxa"/>
          </w:tcPr>
          <w:p w14:paraId="3F900B41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3" w:type="dxa"/>
          </w:tcPr>
          <w:p w14:paraId="140C97A7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7432</w:t>
            </w:r>
          </w:p>
        </w:tc>
        <w:tc>
          <w:tcPr>
            <w:tcW w:w="852" w:type="dxa"/>
          </w:tcPr>
          <w:p w14:paraId="4222AFBE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3" w:type="dxa"/>
          </w:tcPr>
          <w:p w14:paraId="47BCF034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180</w:t>
            </w:r>
          </w:p>
        </w:tc>
        <w:tc>
          <w:tcPr>
            <w:tcW w:w="852" w:type="dxa"/>
          </w:tcPr>
          <w:p w14:paraId="3657CF1C" w14:textId="77777777" w:rsidR="00374071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4710</w:t>
            </w:r>
          </w:p>
        </w:tc>
        <w:tc>
          <w:tcPr>
            <w:tcW w:w="853" w:type="dxa"/>
          </w:tcPr>
          <w:p w14:paraId="61B1454E" w14:textId="77777777" w:rsidR="00374071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7612</w:t>
            </w:r>
          </w:p>
        </w:tc>
        <w:tc>
          <w:tcPr>
            <w:tcW w:w="853" w:type="dxa"/>
          </w:tcPr>
          <w:p w14:paraId="68BC9CE5" w14:textId="77777777" w:rsidR="00374071" w:rsidRPr="00686DE7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cs-CZ"/>
              </w:rPr>
            </w:pPr>
            <w:r w:rsidRPr="00686DE7">
              <w:rPr>
                <w:b/>
                <w:lang w:val="cs-CZ"/>
              </w:rPr>
              <w:t>61.6%</w:t>
            </w:r>
          </w:p>
        </w:tc>
      </w:tr>
      <w:tr w:rsidR="00374071" w14:paraId="17E46A3E" w14:textId="77777777" w:rsidTr="00666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60611FB1" w14:textId="77777777" w:rsidR="00374071" w:rsidRDefault="00374071" w:rsidP="000666D4">
            <w:pPr>
              <w:jc w:val="both"/>
              <w:rPr>
                <w:lang w:val="cs-CZ"/>
              </w:rPr>
            </w:pPr>
            <w:proofErr w:type="spellStart"/>
            <w:r>
              <w:rPr>
                <w:lang w:val="cs-CZ"/>
              </w:rPr>
              <w:t>PdF</w:t>
            </w:r>
            <w:proofErr w:type="spellEnd"/>
          </w:p>
        </w:tc>
        <w:tc>
          <w:tcPr>
            <w:tcW w:w="852" w:type="dxa"/>
          </w:tcPr>
          <w:p w14:paraId="0909A025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1783</w:t>
            </w:r>
          </w:p>
        </w:tc>
        <w:tc>
          <w:tcPr>
            <w:tcW w:w="853" w:type="dxa"/>
          </w:tcPr>
          <w:p w14:paraId="515172EC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2" w:type="dxa"/>
          </w:tcPr>
          <w:p w14:paraId="3CB2AC83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3" w:type="dxa"/>
          </w:tcPr>
          <w:p w14:paraId="2D910332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2394</w:t>
            </w:r>
          </w:p>
        </w:tc>
        <w:tc>
          <w:tcPr>
            <w:tcW w:w="852" w:type="dxa"/>
          </w:tcPr>
          <w:p w14:paraId="2F345454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3" w:type="dxa"/>
          </w:tcPr>
          <w:p w14:paraId="0593F914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2" w:type="dxa"/>
          </w:tcPr>
          <w:p w14:paraId="18C73096" w14:textId="77777777" w:rsidR="00374071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1783</w:t>
            </w:r>
          </w:p>
        </w:tc>
        <w:tc>
          <w:tcPr>
            <w:tcW w:w="853" w:type="dxa"/>
          </w:tcPr>
          <w:p w14:paraId="2C9FA670" w14:textId="77777777" w:rsidR="00374071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2394</w:t>
            </w:r>
          </w:p>
        </w:tc>
        <w:tc>
          <w:tcPr>
            <w:tcW w:w="853" w:type="dxa"/>
          </w:tcPr>
          <w:p w14:paraId="03C0D628" w14:textId="77777777" w:rsidR="00374071" w:rsidRPr="00686DE7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cs-CZ"/>
              </w:rPr>
            </w:pPr>
            <w:r w:rsidRPr="00686DE7">
              <w:rPr>
                <w:b/>
                <w:lang w:val="cs-CZ"/>
              </w:rPr>
              <w:t>34.3%</w:t>
            </w:r>
          </w:p>
        </w:tc>
      </w:tr>
      <w:tr w:rsidR="00374071" w14:paraId="5F8E5435" w14:textId="77777777" w:rsidTr="00666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30CC785C" w14:textId="77777777" w:rsidR="00374071" w:rsidRDefault="00374071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PF</w:t>
            </w:r>
          </w:p>
        </w:tc>
        <w:tc>
          <w:tcPr>
            <w:tcW w:w="852" w:type="dxa"/>
          </w:tcPr>
          <w:p w14:paraId="2F321EDD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725</w:t>
            </w:r>
          </w:p>
        </w:tc>
        <w:tc>
          <w:tcPr>
            <w:tcW w:w="853" w:type="dxa"/>
          </w:tcPr>
          <w:p w14:paraId="30D6DC07" w14:textId="77777777" w:rsidR="00374071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5663</w:t>
            </w:r>
          </w:p>
        </w:tc>
        <w:tc>
          <w:tcPr>
            <w:tcW w:w="852" w:type="dxa"/>
          </w:tcPr>
          <w:p w14:paraId="3DC3C6EB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3" w:type="dxa"/>
          </w:tcPr>
          <w:p w14:paraId="1AB2FF10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782</w:t>
            </w:r>
          </w:p>
        </w:tc>
        <w:tc>
          <w:tcPr>
            <w:tcW w:w="852" w:type="dxa"/>
          </w:tcPr>
          <w:p w14:paraId="5FEFCC8C" w14:textId="77777777" w:rsidR="00374071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6448</w:t>
            </w:r>
          </w:p>
        </w:tc>
        <w:tc>
          <w:tcPr>
            <w:tcW w:w="853" w:type="dxa"/>
          </w:tcPr>
          <w:p w14:paraId="0D86F87F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2" w:type="dxa"/>
          </w:tcPr>
          <w:p w14:paraId="0DF7C741" w14:textId="77777777" w:rsidR="00374071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6388</w:t>
            </w:r>
          </w:p>
        </w:tc>
        <w:tc>
          <w:tcPr>
            <w:tcW w:w="853" w:type="dxa"/>
          </w:tcPr>
          <w:p w14:paraId="75A3B50B" w14:textId="77777777" w:rsidR="00374071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7230</w:t>
            </w:r>
          </w:p>
        </w:tc>
        <w:tc>
          <w:tcPr>
            <w:tcW w:w="853" w:type="dxa"/>
          </w:tcPr>
          <w:p w14:paraId="24655C30" w14:textId="77777777" w:rsidR="00374071" w:rsidRPr="00686DE7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cs-CZ"/>
              </w:rPr>
            </w:pPr>
            <w:r w:rsidRPr="00686DE7">
              <w:rPr>
                <w:b/>
                <w:lang w:val="cs-CZ"/>
              </w:rPr>
              <w:t>13.2%</w:t>
            </w:r>
          </w:p>
        </w:tc>
      </w:tr>
      <w:tr w:rsidR="00374071" w14:paraId="072522EF" w14:textId="77777777" w:rsidTr="00666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72416CFD" w14:textId="77777777" w:rsidR="00374071" w:rsidRDefault="00374071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FTK</w:t>
            </w:r>
          </w:p>
        </w:tc>
        <w:tc>
          <w:tcPr>
            <w:tcW w:w="852" w:type="dxa"/>
          </w:tcPr>
          <w:p w14:paraId="52FF09CA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5041</w:t>
            </w:r>
          </w:p>
        </w:tc>
        <w:tc>
          <w:tcPr>
            <w:tcW w:w="853" w:type="dxa"/>
          </w:tcPr>
          <w:p w14:paraId="1D27692B" w14:textId="77777777" w:rsidR="00374071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2" w:type="dxa"/>
          </w:tcPr>
          <w:p w14:paraId="0BFA67D9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3" w:type="dxa"/>
          </w:tcPr>
          <w:p w14:paraId="206E9F6A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7818</w:t>
            </w:r>
          </w:p>
        </w:tc>
        <w:tc>
          <w:tcPr>
            <w:tcW w:w="852" w:type="dxa"/>
          </w:tcPr>
          <w:p w14:paraId="4EE66618" w14:textId="77777777" w:rsidR="00374071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3" w:type="dxa"/>
          </w:tcPr>
          <w:p w14:paraId="77E79695" w14:textId="77777777" w:rsidR="00374071" w:rsidRDefault="00A86018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2" w:type="dxa"/>
          </w:tcPr>
          <w:p w14:paraId="0A88D99A" w14:textId="77777777" w:rsidR="00374071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5041</w:t>
            </w:r>
          </w:p>
        </w:tc>
        <w:tc>
          <w:tcPr>
            <w:tcW w:w="853" w:type="dxa"/>
          </w:tcPr>
          <w:p w14:paraId="3F10AC02" w14:textId="77777777" w:rsidR="00374071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7818</w:t>
            </w:r>
          </w:p>
        </w:tc>
        <w:tc>
          <w:tcPr>
            <w:tcW w:w="853" w:type="dxa"/>
          </w:tcPr>
          <w:p w14:paraId="7DA39201" w14:textId="77777777" w:rsidR="00374071" w:rsidRPr="00686DE7" w:rsidRDefault="00FF4FA2" w:rsidP="00686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cs-CZ"/>
              </w:rPr>
            </w:pPr>
            <w:r w:rsidRPr="00686DE7">
              <w:rPr>
                <w:b/>
                <w:lang w:val="cs-CZ"/>
              </w:rPr>
              <w:t>55.1%</w:t>
            </w:r>
          </w:p>
        </w:tc>
      </w:tr>
      <w:tr w:rsidR="00374071" w14:paraId="1A1614E2" w14:textId="77777777" w:rsidTr="00666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36B9D3F6" w14:textId="77777777" w:rsidR="00374071" w:rsidRDefault="00374071" w:rsidP="000666D4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FZV</w:t>
            </w:r>
          </w:p>
        </w:tc>
        <w:tc>
          <w:tcPr>
            <w:tcW w:w="852" w:type="dxa"/>
          </w:tcPr>
          <w:p w14:paraId="1205537F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1187</w:t>
            </w:r>
          </w:p>
        </w:tc>
        <w:tc>
          <w:tcPr>
            <w:tcW w:w="853" w:type="dxa"/>
          </w:tcPr>
          <w:p w14:paraId="7160DB6B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2" w:type="dxa"/>
          </w:tcPr>
          <w:p w14:paraId="2BCE7F20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3" w:type="dxa"/>
          </w:tcPr>
          <w:p w14:paraId="2BEFADCB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2239</w:t>
            </w:r>
          </w:p>
        </w:tc>
        <w:tc>
          <w:tcPr>
            <w:tcW w:w="852" w:type="dxa"/>
          </w:tcPr>
          <w:p w14:paraId="24EAFCF2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3" w:type="dxa"/>
          </w:tcPr>
          <w:p w14:paraId="65F68C3B" w14:textId="77777777" w:rsidR="00374071" w:rsidRDefault="00A86018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0</w:t>
            </w:r>
          </w:p>
        </w:tc>
        <w:tc>
          <w:tcPr>
            <w:tcW w:w="852" w:type="dxa"/>
          </w:tcPr>
          <w:p w14:paraId="3E6E95BD" w14:textId="77777777" w:rsidR="00374071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1187</w:t>
            </w:r>
          </w:p>
        </w:tc>
        <w:tc>
          <w:tcPr>
            <w:tcW w:w="853" w:type="dxa"/>
          </w:tcPr>
          <w:p w14:paraId="3373597D" w14:textId="77777777" w:rsidR="00374071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2239</w:t>
            </w:r>
          </w:p>
        </w:tc>
        <w:tc>
          <w:tcPr>
            <w:tcW w:w="853" w:type="dxa"/>
          </w:tcPr>
          <w:p w14:paraId="6B3CE47A" w14:textId="77777777" w:rsidR="00374071" w:rsidRPr="00686DE7" w:rsidRDefault="00FF4FA2" w:rsidP="00686D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cs-CZ"/>
              </w:rPr>
            </w:pPr>
            <w:r w:rsidRPr="00686DE7">
              <w:rPr>
                <w:b/>
                <w:lang w:val="cs-CZ"/>
              </w:rPr>
              <w:t>88.6%</w:t>
            </w:r>
          </w:p>
        </w:tc>
      </w:tr>
    </w:tbl>
    <w:p w14:paraId="5C2BDF9E" w14:textId="77777777" w:rsidR="00D41545" w:rsidRDefault="00D41545" w:rsidP="000666D4">
      <w:pPr>
        <w:jc w:val="both"/>
        <w:rPr>
          <w:lang w:val="cs-CZ"/>
        </w:rPr>
      </w:pPr>
    </w:p>
    <w:p w14:paraId="7B1E06A4" w14:textId="77777777" w:rsidR="00E406BC" w:rsidRDefault="00A63555" w:rsidP="000666D4">
      <w:pPr>
        <w:jc w:val="both"/>
        <w:rPr>
          <w:lang w:val="cs-CZ"/>
        </w:rPr>
      </w:pPr>
      <w:r>
        <w:rPr>
          <w:lang w:val="cs-CZ"/>
        </w:rPr>
        <w:t>Výsledky typu B a C zatím nemohly být spočt</w:t>
      </w:r>
      <w:r w:rsidR="00686DE7">
        <w:rPr>
          <w:lang w:val="cs-CZ"/>
        </w:rPr>
        <w:t>e</w:t>
      </w:r>
      <w:r>
        <w:rPr>
          <w:lang w:val="cs-CZ"/>
        </w:rPr>
        <w:t xml:space="preserve">ny, jelikož o finální podobě kategorizace nakladatelství bylo rozhodnuto 28. 1. 2020 na poradě s proděkany pro </w:t>
      </w:r>
      <w:proofErr w:type="spellStart"/>
      <w:r>
        <w:rPr>
          <w:lang w:val="cs-CZ"/>
        </w:rPr>
        <w:t>VaV</w:t>
      </w:r>
      <w:proofErr w:type="spellEnd"/>
      <w:r>
        <w:rPr>
          <w:lang w:val="cs-CZ"/>
        </w:rPr>
        <w:t xml:space="preserve"> a postupně dochází k finalizaci seznamu nakladatelů. </w:t>
      </w:r>
      <w:r w:rsidR="006338A5">
        <w:rPr>
          <w:lang w:val="cs-CZ"/>
        </w:rPr>
        <w:t xml:space="preserve">Výpočet bodů za výsledky typu B a C bude možný až po zkompletování </w:t>
      </w:r>
      <w:r w:rsidR="00E406BC">
        <w:rPr>
          <w:lang w:val="cs-CZ"/>
        </w:rPr>
        <w:t xml:space="preserve">přiřazených kategorií nakladatelství. </w:t>
      </w:r>
      <w:r>
        <w:rPr>
          <w:lang w:val="cs-CZ"/>
        </w:rPr>
        <w:t xml:space="preserve">Obdobně v případě výsledků aplikovaného výzkumu byla konkrétní podoba sledovaných výsledků dořešena 28. 1. 2020 na poradě s proděkany pro </w:t>
      </w:r>
      <w:proofErr w:type="spellStart"/>
      <w:r>
        <w:rPr>
          <w:lang w:val="cs-CZ"/>
        </w:rPr>
        <w:t>VaV</w:t>
      </w:r>
      <w:proofErr w:type="spellEnd"/>
      <w:r w:rsidR="00E406BC">
        <w:rPr>
          <w:lang w:val="cs-CZ"/>
        </w:rPr>
        <w:t xml:space="preserve"> a bodové přiřazení výsledkům a jeho kontrola v této době probíhá a bude dodána. </w:t>
      </w:r>
    </w:p>
    <w:p w14:paraId="1A2E8F1C" w14:textId="51B4ECFC" w:rsidR="00D41545" w:rsidRPr="009A09F5" w:rsidRDefault="00E406BC" w:rsidP="000666D4">
      <w:pPr>
        <w:jc w:val="both"/>
        <w:rPr>
          <w:lang w:val="cs-CZ"/>
        </w:rPr>
      </w:pPr>
      <w:r>
        <w:rPr>
          <w:lang w:val="cs-CZ"/>
        </w:rPr>
        <w:t xml:space="preserve">Výpočet celkových koeficientů růstu </w:t>
      </w:r>
      <w:proofErr w:type="spellStart"/>
      <w:r>
        <w:rPr>
          <w:lang w:val="cs-CZ"/>
        </w:rPr>
        <w:t>Q</w:t>
      </w:r>
      <w:r w:rsidRPr="00E406BC">
        <w:rPr>
          <w:vertAlign w:val="subscript"/>
          <w:lang w:val="cs-CZ"/>
        </w:rPr>
        <w:t>i</w:t>
      </w:r>
      <w:proofErr w:type="spellEnd"/>
      <w:r>
        <w:rPr>
          <w:lang w:val="cs-CZ"/>
        </w:rPr>
        <w:t xml:space="preserve"> bude proveden až po stanovení bodové hodnoty ostatních výsledků, především pak výsledků typu B a C, které představují u humanitně zaměřených fakult významnou část produkce v tvůrčí činnosti. Podobně stanovení koeficientů </w:t>
      </w:r>
      <w:proofErr w:type="spellStart"/>
      <w:r>
        <w:rPr>
          <w:lang w:val="cs-CZ"/>
        </w:rPr>
        <w:t>Q</w:t>
      </w:r>
      <w:r w:rsidRPr="00E406BC">
        <w:rPr>
          <w:vertAlign w:val="subscript"/>
          <w:lang w:val="cs-CZ"/>
        </w:rPr>
        <w:t>i</w:t>
      </w:r>
      <w:proofErr w:type="spellEnd"/>
      <w:r>
        <w:rPr>
          <w:lang w:val="cs-CZ"/>
        </w:rPr>
        <w:t xml:space="preserve"> pro </w:t>
      </w:r>
      <w:r w:rsidR="00F71AF0">
        <w:rPr>
          <w:lang w:val="cs-CZ"/>
        </w:rPr>
        <w:t xml:space="preserve">dělení na 8 fakult a 1 VŠÚ </w:t>
      </w:r>
      <w:r>
        <w:rPr>
          <w:lang w:val="cs-CZ"/>
        </w:rPr>
        <w:t>bude</w:t>
      </w:r>
      <w:r w:rsidR="00F71AF0">
        <w:rPr>
          <w:lang w:val="cs-CZ"/>
        </w:rPr>
        <w:t xml:space="preserve"> realizováno až s kompletním datovým setem.</w:t>
      </w:r>
    </w:p>
    <w:sectPr w:rsidR="00D41545" w:rsidRPr="009A09F5" w:rsidSect="007F4F5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6D4"/>
    <w:rsid w:val="00047669"/>
    <w:rsid w:val="000666D4"/>
    <w:rsid w:val="00374071"/>
    <w:rsid w:val="00417797"/>
    <w:rsid w:val="00577449"/>
    <w:rsid w:val="006338A5"/>
    <w:rsid w:val="00666CAF"/>
    <w:rsid w:val="00686DE7"/>
    <w:rsid w:val="0069749B"/>
    <w:rsid w:val="007F4F5E"/>
    <w:rsid w:val="009566EB"/>
    <w:rsid w:val="009A09F5"/>
    <w:rsid w:val="00A63555"/>
    <w:rsid w:val="00A86018"/>
    <w:rsid w:val="00D41545"/>
    <w:rsid w:val="00E406BC"/>
    <w:rsid w:val="00F71AF0"/>
    <w:rsid w:val="00FD636C"/>
    <w:rsid w:val="00FF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202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66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77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04766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66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77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04766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3328</Characters>
  <Application>Microsoft Office Word</Application>
  <DocSecurity>4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Olomouc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Banas</dc:creator>
  <cp:lastModifiedBy>Doc. RNDr. Irena Smolová, Ph.D.</cp:lastModifiedBy>
  <cp:revision>2</cp:revision>
  <dcterms:created xsi:type="dcterms:W3CDTF">2020-02-16T19:36:00Z</dcterms:created>
  <dcterms:modified xsi:type="dcterms:W3CDTF">2020-02-16T19:36:00Z</dcterms:modified>
</cp:coreProperties>
</file>