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DB90B" w14:textId="7CB46982" w:rsidR="007F4F5E" w:rsidRPr="00CF414A" w:rsidRDefault="006B3421" w:rsidP="006B3421">
      <w:pPr>
        <w:jc w:val="center"/>
        <w:rPr>
          <w:b/>
          <w:sz w:val="28"/>
          <w:lang w:val="cs-CZ"/>
        </w:rPr>
      </w:pPr>
      <w:r w:rsidRPr="00CF414A">
        <w:rPr>
          <w:b/>
          <w:sz w:val="28"/>
          <w:lang w:val="cs-CZ"/>
        </w:rPr>
        <w:t>Metodika dělení institucionální podpory na dlouhodobý koncepční rozvoj výzkumné organizace (DKRVO) na UP</w:t>
      </w:r>
      <w:r w:rsidR="004F3FEC">
        <w:rPr>
          <w:b/>
          <w:sz w:val="28"/>
          <w:lang w:val="cs-CZ"/>
        </w:rPr>
        <w:t xml:space="preserve"> v roce 2020</w:t>
      </w:r>
    </w:p>
    <w:p w14:paraId="3700DCEC" w14:textId="77777777" w:rsidR="006B3421" w:rsidRPr="006B3421" w:rsidRDefault="006B3421">
      <w:pPr>
        <w:rPr>
          <w:lang w:val="cs-CZ"/>
        </w:rPr>
      </w:pPr>
    </w:p>
    <w:p w14:paraId="37282260" w14:textId="1824BAAB" w:rsidR="006B3421" w:rsidRDefault="006B3421" w:rsidP="006B3421">
      <w:pPr>
        <w:jc w:val="both"/>
        <w:rPr>
          <w:lang w:val="cs-CZ"/>
        </w:rPr>
      </w:pPr>
      <w:r>
        <w:rPr>
          <w:lang w:val="cs-CZ"/>
        </w:rPr>
        <w:t xml:space="preserve">Z celkové institucionální podpory na DKRVO (dále jen RVO) přidělené UP </w:t>
      </w:r>
      <w:r w:rsidR="004F3FEC">
        <w:rPr>
          <w:lang w:val="cs-CZ"/>
        </w:rPr>
        <w:t xml:space="preserve">na rok 2020 </w:t>
      </w:r>
      <w:r>
        <w:rPr>
          <w:lang w:val="cs-CZ"/>
        </w:rPr>
        <w:t>bude část finančních prostředk</w:t>
      </w:r>
      <w:r w:rsidR="00486391">
        <w:rPr>
          <w:lang w:val="cs-CZ"/>
        </w:rPr>
        <w:t xml:space="preserve">ů alokována na Juniorské granty, a to </w:t>
      </w:r>
      <w:r w:rsidR="0018002E">
        <w:rPr>
          <w:lang w:val="cs-CZ"/>
        </w:rPr>
        <w:t>ve výši alokace Juniorských grantů</w:t>
      </w:r>
      <w:r w:rsidR="0018002E" w:rsidRPr="0018002E">
        <w:rPr>
          <w:lang w:val="cs-CZ"/>
        </w:rPr>
        <w:t xml:space="preserve"> </w:t>
      </w:r>
      <w:r w:rsidR="00486391">
        <w:rPr>
          <w:lang w:val="cs-CZ"/>
        </w:rPr>
        <w:t>udělených dle normy R-B-18/10, což pro rok 2020 činí částku 6 273,75 tis. Kč</w:t>
      </w:r>
      <w:r>
        <w:rPr>
          <w:lang w:val="cs-CZ"/>
        </w:rPr>
        <w:t xml:space="preserve">. </w:t>
      </w:r>
      <w:r w:rsidR="00CF414A">
        <w:rPr>
          <w:lang w:val="cs-CZ"/>
        </w:rPr>
        <w:t>Zbytek pak bude rozdělen mezi jednotlivé součásti UP dle níže navrhované metodiky.</w:t>
      </w:r>
    </w:p>
    <w:p w14:paraId="683C08CE" w14:textId="77777777" w:rsidR="00FD015E" w:rsidRDefault="00FD015E" w:rsidP="006B3421">
      <w:pPr>
        <w:jc w:val="both"/>
        <w:rPr>
          <w:lang w:val="cs-CZ"/>
        </w:rPr>
      </w:pPr>
    </w:p>
    <w:p w14:paraId="622AA997" w14:textId="77777777" w:rsidR="00FD015E" w:rsidRPr="00FD2CDD" w:rsidRDefault="00FD2CDD" w:rsidP="006B3421">
      <w:pPr>
        <w:jc w:val="both"/>
        <w:rPr>
          <w:b/>
          <w:lang w:val="cs-CZ"/>
        </w:rPr>
      </w:pPr>
      <w:r w:rsidRPr="00FD2CDD">
        <w:rPr>
          <w:b/>
          <w:lang w:val="cs-CZ"/>
        </w:rPr>
        <w:t>Metodika dělení příspěvku na RVO mezi součásti UP: Obecná struktura</w:t>
      </w:r>
    </w:p>
    <w:p w14:paraId="19B8EF22" w14:textId="65D7330C" w:rsidR="00FD2CDD" w:rsidRDefault="00FD2CDD" w:rsidP="006B3421">
      <w:pPr>
        <w:jc w:val="both"/>
        <w:rPr>
          <w:lang w:val="cs-CZ"/>
        </w:rPr>
      </w:pPr>
      <w:r>
        <w:rPr>
          <w:lang w:val="cs-CZ"/>
        </w:rPr>
        <w:t>Na rozdíl od předchozí metodiky</w:t>
      </w:r>
      <w:r w:rsidR="00D867C8">
        <w:rPr>
          <w:lang w:val="cs-CZ"/>
        </w:rPr>
        <w:t xml:space="preserve"> hodnocení výsledků výzkumných organizací platné v letech 2013-2016</w:t>
      </w:r>
      <w:r>
        <w:rPr>
          <w:lang w:val="cs-CZ"/>
        </w:rPr>
        <w:t xml:space="preserve">, </w:t>
      </w:r>
      <w:r w:rsidR="00D867C8">
        <w:rPr>
          <w:lang w:val="cs-CZ"/>
        </w:rPr>
        <w:t xml:space="preserve">nelze </w:t>
      </w:r>
      <w:r>
        <w:rPr>
          <w:lang w:val="cs-CZ"/>
        </w:rPr>
        <w:t>v</w:t>
      </w:r>
      <w:r w:rsidR="00D867C8">
        <w:rPr>
          <w:lang w:val="cs-CZ"/>
        </w:rPr>
        <w:t xml:space="preserve"> nové </w:t>
      </w:r>
      <w:r>
        <w:rPr>
          <w:lang w:val="cs-CZ"/>
        </w:rPr>
        <w:t xml:space="preserve">národní metodice M2017+ přiřadit jednotlivým výsledkům tvůrčí činnosti jejich bodové </w:t>
      </w:r>
      <w:r w:rsidR="00C305B4">
        <w:rPr>
          <w:lang w:val="cs-CZ"/>
        </w:rPr>
        <w:t xml:space="preserve">ohodnocení </w:t>
      </w:r>
      <w:r>
        <w:rPr>
          <w:lang w:val="cs-CZ"/>
        </w:rPr>
        <w:t xml:space="preserve">a tudíž ani </w:t>
      </w:r>
      <w:r w:rsidR="00D867C8">
        <w:rPr>
          <w:lang w:val="cs-CZ"/>
        </w:rPr>
        <w:t xml:space="preserve">jednoznačně určit jejich </w:t>
      </w:r>
      <w:r>
        <w:rPr>
          <w:lang w:val="cs-CZ"/>
        </w:rPr>
        <w:t xml:space="preserve">finanční </w:t>
      </w:r>
      <w:r w:rsidR="00C305B4">
        <w:rPr>
          <w:lang w:val="cs-CZ"/>
        </w:rPr>
        <w:t>hodnotu</w:t>
      </w:r>
      <w:r>
        <w:rPr>
          <w:lang w:val="cs-CZ"/>
        </w:rPr>
        <w:t>. Z toho důvodu nebude mít navrhovaná metodika vnitřního dělení RVO prostředků na UP aditivní</w:t>
      </w:r>
      <w:r w:rsidR="00D867C8">
        <w:rPr>
          <w:lang w:val="cs-CZ"/>
        </w:rPr>
        <w:t xml:space="preserve"> charakter, tj. přidělené alokace na jednotlivé součásti nebudou vycházet ze sum</w:t>
      </w:r>
      <w:r w:rsidR="001533E1">
        <w:rPr>
          <w:lang w:val="cs-CZ"/>
        </w:rPr>
        <w:t>y hodnot výsledků této součásti.</w:t>
      </w:r>
      <w:r w:rsidR="00D867C8">
        <w:rPr>
          <w:lang w:val="cs-CZ"/>
        </w:rPr>
        <w:t xml:space="preserve"> </w:t>
      </w:r>
      <w:r w:rsidR="001533E1">
        <w:rPr>
          <w:lang w:val="cs-CZ"/>
        </w:rPr>
        <w:t>P</w:t>
      </w:r>
      <w:r w:rsidR="00D867C8">
        <w:rPr>
          <w:lang w:val="cs-CZ"/>
        </w:rPr>
        <w:t>odíl každé součásti na celk</w:t>
      </w:r>
      <w:r w:rsidR="00C951FB">
        <w:rPr>
          <w:lang w:val="cs-CZ"/>
        </w:rPr>
        <w:t>ové alokaci RVO na UP v roce N</w:t>
      </w:r>
      <w:r w:rsidR="00D867C8">
        <w:rPr>
          <w:lang w:val="cs-CZ"/>
        </w:rPr>
        <w:t xml:space="preserve"> bude odvozen </w:t>
      </w:r>
      <w:r w:rsidR="00C305B4">
        <w:rPr>
          <w:lang w:val="cs-CZ"/>
        </w:rPr>
        <w:t>od</w:t>
      </w:r>
      <w:r w:rsidR="00D867C8">
        <w:rPr>
          <w:lang w:val="cs-CZ"/>
        </w:rPr>
        <w:t> podílu této součásti na RVO v roce N</w:t>
      </w:r>
      <w:r w:rsidR="00C951FB">
        <w:rPr>
          <w:lang w:val="cs-CZ"/>
        </w:rPr>
        <w:t>-1 (referenční podíl)</w:t>
      </w:r>
      <w:r w:rsidR="00D867C8">
        <w:rPr>
          <w:lang w:val="cs-CZ"/>
        </w:rPr>
        <w:t xml:space="preserve"> se zohledněním vývoje kvantity i kvality její tvůrčí činnosti v čase.</w:t>
      </w:r>
    </w:p>
    <w:p w14:paraId="488F52FC" w14:textId="1D11C01D" w:rsidR="00730092" w:rsidRDefault="00D867C8" w:rsidP="00730092">
      <w:pPr>
        <w:jc w:val="both"/>
        <w:rPr>
          <w:lang w:val="cs-CZ"/>
        </w:rPr>
      </w:pPr>
      <w:r>
        <w:rPr>
          <w:lang w:val="cs-CZ"/>
        </w:rPr>
        <w:t xml:space="preserve">Jednotlivé součásti budou </w:t>
      </w:r>
      <w:r w:rsidR="002148A2">
        <w:rPr>
          <w:lang w:val="cs-CZ"/>
        </w:rPr>
        <w:t xml:space="preserve">v roce N </w:t>
      </w:r>
      <w:r w:rsidR="00C951FB">
        <w:rPr>
          <w:lang w:val="cs-CZ"/>
        </w:rPr>
        <w:t xml:space="preserve">hodnoceny </w:t>
      </w:r>
      <w:r>
        <w:rPr>
          <w:lang w:val="cs-CZ"/>
        </w:rPr>
        <w:t xml:space="preserve">dle výsledků své tvůrčí činnosti </w:t>
      </w:r>
      <w:r w:rsidR="00C951FB">
        <w:rPr>
          <w:lang w:val="cs-CZ"/>
        </w:rPr>
        <w:t>za pětileté</w:t>
      </w:r>
      <w:r>
        <w:rPr>
          <w:lang w:val="cs-CZ"/>
        </w:rPr>
        <w:t xml:space="preserve"> období</w:t>
      </w:r>
      <w:r w:rsidR="002148A2">
        <w:rPr>
          <w:lang w:val="cs-CZ"/>
        </w:rPr>
        <w:t xml:space="preserve"> od roku N-6 po rok N-2 (pro rok 2020 tedy za období 2014-2018) a porovnáním výkonu v tomto období s výkonem v období předchozím</w:t>
      </w:r>
      <w:r w:rsidR="00C951FB">
        <w:rPr>
          <w:lang w:val="cs-CZ"/>
        </w:rPr>
        <w:t xml:space="preserve"> (referenčním)</w:t>
      </w:r>
      <w:r w:rsidR="002148A2">
        <w:rPr>
          <w:lang w:val="cs-CZ"/>
        </w:rPr>
        <w:t xml:space="preserve">. V roce 2020 bude jako výchozí </w:t>
      </w:r>
      <w:r w:rsidR="00325BA5">
        <w:rPr>
          <w:lang w:val="cs-CZ"/>
        </w:rPr>
        <w:t xml:space="preserve">podíl každé součásti na </w:t>
      </w:r>
      <w:r w:rsidR="00225A5A">
        <w:rPr>
          <w:lang w:val="cs-CZ"/>
        </w:rPr>
        <w:t xml:space="preserve">celkovém </w:t>
      </w:r>
      <w:r w:rsidR="00325BA5">
        <w:rPr>
          <w:lang w:val="cs-CZ"/>
        </w:rPr>
        <w:t>RVO</w:t>
      </w:r>
      <w:r w:rsidR="002148A2">
        <w:rPr>
          <w:lang w:val="cs-CZ"/>
        </w:rPr>
        <w:t xml:space="preserve"> považován</w:t>
      </w:r>
      <w:r w:rsidR="00325BA5">
        <w:rPr>
          <w:lang w:val="cs-CZ"/>
        </w:rPr>
        <w:t xml:space="preserve"> příslušný podíl na RIV bodech univerzity v</w:t>
      </w:r>
      <w:r w:rsidR="002148A2">
        <w:rPr>
          <w:lang w:val="cs-CZ"/>
        </w:rPr>
        <w:t xml:space="preserve"> poslední</w:t>
      </w:r>
      <w:r w:rsidR="00325BA5">
        <w:rPr>
          <w:lang w:val="cs-CZ"/>
        </w:rPr>
        <w:t>m</w:t>
      </w:r>
      <w:r w:rsidR="002148A2">
        <w:rPr>
          <w:lang w:val="cs-CZ"/>
        </w:rPr>
        <w:t xml:space="preserve"> známé</w:t>
      </w:r>
      <w:r w:rsidR="00325BA5">
        <w:rPr>
          <w:lang w:val="cs-CZ"/>
        </w:rPr>
        <w:t>m</w:t>
      </w:r>
      <w:r w:rsidR="002148A2">
        <w:rPr>
          <w:lang w:val="cs-CZ"/>
        </w:rPr>
        <w:t xml:space="preserve"> hodnocení z předchozí metodiky hodnocení výsledků výzkumných organizací platné v letech 2013-2016, tj. hodnocení h16, které vychází z výsledků uplatněných v letech 2011-2015</w:t>
      </w:r>
      <w:r w:rsidR="00CE2CAB">
        <w:rPr>
          <w:lang w:val="cs-CZ"/>
        </w:rPr>
        <w:t xml:space="preserve"> tak, jak tyto výsledky </w:t>
      </w:r>
      <w:r w:rsidR="001F291A">
        <w:rPr>
          <w:lang w:val="cs-CZ"/>
        </w:rPr>
        <w:t>byly bodovány dle metodiky 2013</w:t>
      </w:r>
      <w:r w:rsidR="002148A2">
        <w:rPr>
          <w:lang w:val="cs-CZ"/>
        </w:rPr>
        <w:t xml:space="preserve">. </w:t>
      </w:r>
      <w:r w:rsidR="001533E1">
        <w:rPr>
          <w:lang w:val="cs-CZ"/>
        </w:rPr>
        <w:t>V roce 2020 je tedy r</w:t>
      </w:r>
      <w:r w:rsidR="00C951FB">
        <w:rPr>
          <w:lang w:val="cs-CZ"/>
        </w:rPr>
        <w:t>eferenční</w:t>
      </w:r>
      <w:r w:rsidR="001533E1">
        <w:rPr>
          <w:lang w:val="cs-CZ"/>
        </w:rPr>
        <w:t xml:space="preserve"> podíl každé součásti na RVO </w:t>
      </w:r>
      <w:r w:rsidR="00C951FB">
        <w:rPr>
          <w:lang w:val="cs-CZ"/>
        </w:rPr>
        <w:t xml:space="preserve">její podíl na celkovém RVO </w:t>
      </w:r>
      <w:r w:rsidR="001533E1">
        <w:rPr>
          <w:lang w:val="cs-CZ"/>
        </w:rPr>
        <w:t>přiděleném</w:t>
      </w:r>
      <w:r w:rsidR="00C951FB">
        <w:rPr>
          <w:lang w:val="cs-CZ"/>
        </w:rPr>
        <w:t xml:space="preserve"> UP dle h16 a referenční období jsou roky 2011-2015.</w:t>
      </w:r>
      <w:r w:rsidR="00E4338A">
        <w:rPr>
          <w:lang w:val="cs-CZ"/>
        </w:rPr>
        <w:t xml:space="preserve"> </w:t>
      </w:r>
      <w:r w:rsidR="001533E1">
        <w:rPr>
          <w:lang w:val="cs-CZ"/>
        </w:rPr>
        <w:t>V</w:t>
      </w:r>
      <w:r w:rsidR="004036D6">
        <w:rPr>
          <w:lang w:val="cs-CZ"/>
        </w:rPr>
        <w:t xml:space="preserve"> roce 2020 tedy dojde k posunu hodnoceného vůči referenčnímu období </w:t>
      </w:r>
      <w:r w:rsidR="001F291A">
        <w:rPr>
          <w:lang w:val="cs-CZ"/>
        </w:rPr>
        <w:t xml:space="preserve">mimořádně </w:t>
      </w:r>
      <w:r w:rsidR="004036D6">
        <w:rPr>
          <w:lang w:val="cs-CZ"/>
        </w:rPr>
        <w:t xml:space="preserve">o tři roky. V </w:t>
      </w:r>
      <w:r w:rsidR="001533E1">
        <w:rPr>
          <w:lang w:val="cs-CZ"/>
        </w:rPr>
        <w:t xml:space="preserve">následujících letech se bude toto pětileté období posouvat vždy </w:t>
      </w:r>
      <w:r w:rsidR="00225A5A">
        <w:rPr>
          <w:lang w:val="cs-CZ"/>
        </w:rPr>
        <w:t xml:space="preserve">už jen </w:t>
      </w:r>
      <w:r w:rsidR="001533E1">
        <w:rPr>
          <w:lang w:val="cs-CZ"/>
        </w:rPr>
        <w:t xml:space="preserve">o </w:t>
      </w:r>
      <w:r w:rsidR="004036D6">
        <w:rPr>
          <w:lang w:val="cs-CZ"/>
        </w:rPr>
        <w:t xml:space="preserve">jeden </w:t>
      </w:r>
      <w:r w:rsidR="001533E1">
        <w:rPr>
          <w:lang w:val="cs-CZ"/>
        </w:rPr>
        <w:t>rok, tj. pro rok 2021 bude hodnoceným obdobím roky 2015-2019 a referenčním obdobím roky 2014-2018</w:t>
      </w:r>
      <w:r w:rsidR="004036D6">
        <w:rPr>
          <w:lang w:val="cs-CZ"/>
        </w:rPr>
        <w:t xml:space="preserve"> atd</w:t>
      </w:r>
      <w:r w:rsidR="001533E1">
        <w:rPr>
          <w:lang w:val="cs-CZ"/>
        </w:rPr>
        <w:t>.</w:t>
      </w:r>
    </w:p>
    <w:p w14:paraId="66BAA6B1" w14:textId="7DA0F383" w:rsidR="00D867C8" w:rsidRDefault="00730092" w:rsidP="00730092">
      <w:pPr>
        <w:jc w:val="both"/>
        <w:rPr>
          <w:lang w:val="cs-CZ"/>
        </w:rPr>
      </w:pPr>
      <w:r>
        <w:rPr>
          <w:lang w:val="cs-CZ"/>
        </w:rPr>
        <w:t>D</w:t>
      </w:r>
      <w:r w:rsidR="00E4338A">
        <w:rPr>
          <w:lang w:val="cs-CZ"/>
        </w:rPr>
        <w:t xml:space="preserve">opad organizační změny </w:t>
      </w:r>
      <w:r>
        <w:rPr>
          <w:lang w:val="cs-CZ"/>
        </w:rPr>
        <w:t xml:space="preserve">vzniku VŠ ústavu bude </w:t>
      </w:r>
      <w:r w:rsidR="00E4338A">
        <w:rPr>
          <w:lang w:val="cs-CZ"/>
        </w:rPr>
        <w:t>proveden na úrovni těchto výchozích podílů na celkovém RVO dle hodnocení h16, tj. procentuální podíly LF a PřF dle h16 budou rozděleny v souladu s pravidly metodiky h16 mezi LF, PřF a VŠ ústav tak, že bude zachován jejich součet. Výchozí referenční podíly zbylých fakult nebudou organizační změnou dotčeny.</w:t>
      </w:r>
    </w:p>
    <w:p w14:paraId="2199CF1C" w14:textId="3B293360" w:rsidR="00C951FB" w:rsidRDefault="00C951FB" w:rsidP="006B3421">
      <w:pPr>
        <w:jc w:val="both"/>
        <w:rPr>
          <w:lang w:val="cs-CZ"/>
        </w:rPr>
      </w:pPr>
      <w:r>
        <w:rPr>
          <w:lang w:val="cs-CZ"/>
        </w:rPr>
        <w:t xml:space="preserve">Hodnocení vývoje kvantity a kvality tvůrčí činnosti na součástech UP bude realizováno ve dvou pilířích. Pilíř I bude hodnotit vývoj celkové produkce relevantních výsledků tvůrčí činnosti na dané součásti mezi </w:t>
      </w:r>
      <w:r w:rsidR="004036D6">
        <w:rPr>
          <w:lang w:val="cs-CZ"/>
        </w:rPr>
        <w:t>hodnoceným</w:t>
      </w:r>
      <w:r>
        <w:rPr>
          <w:lang w:val="cs-CZ"/>
        </w:rPr>
        <w:t xml:space="preserve"> a referenčním obdobím. Pilíř II pak bude hodnotit kvalitu tvůrčí činnosti dané součásti, resp. jejích vědních oborů</w:t>
      </w:r>
      <w:r w:rsidR="004036D6">
        <w:rPr>
          <w:lang w:val="cs-CZ"/>
        </w:rPr>
        <w:t xml:space="preserve"> v případech, kde je to relevantní</w:t>
      </w:r>
      <w:r w:rsidR="00FA669A">
        <w:rPr>
          <w:lang w:val="cs-CZ"/>
        </w:rPr>
        <w:t>.</w:t>
      </w:r>
      <w:r w:rsidR="00730092">
        <w:rPr>
          <w:lang w:val="cs-CZ"/>
        </w:rPr>
        <w:t xml:space="preserve"> V</w:t>
      </w:r>
      <w:r w:rsidR="004036D6">
        <w:rPr>
          <w:lang w:val="cs-CZ"/>
        </w:rPr>
        <w:t xml:space="preserve"> roce 2020 bude vnitřní </w:t>
      </w:r>
      <w:r w:rsidR="00730092">
        <w:rPr>
          <w:lang w:val="cs-CZ"/>
        </w:rPr>
        <w:t>dělení RVO provedeno pouze pomocí Pilíře I. Pilíř II bude v průběhu roku</w:t>
      </w:r>
      <w:r w:rsidR="006371E4">
        <w:rPr>
          <w:lang w:val="cs-CZ"/>
        </w:rPr>
        <w:t xml:space="preserve"> 2020 dopracován a bude předložen až v d</w:t>
      </w:r>
      <w:r w:rsidR="004036D6">
        <w:rPr>
          <w:lang w:val="cs-CZ"/>
        </w:rPr>
        <w:t>opracované metodice dělení RVO pro</w:t>
      </w:r>
      <w:r w:rsidR="006371E4">
        <w:rPr>
          <w:lang w:val="cs-CZ"/>
        </w:rPr>
        <w:t> ro</w:t>
      </w:r>
      <w:r w:rsidR="004036D6">
        <w:rPr>
          <w:lang w:val="cs-CZ"/>
        </w:rPr>
        <w:t>k</w:t>
      </w:r>
      <w:r w:rsidR="006371E4">
        <w:rPr>
          <w:lang w:val="cs-CZ"/>
        </w:rPr>
        <w:t xml:space="preserve"> 2021.</w:t>
      </w:r>
    </w:p>
    <w:p w14:paraId="24AB33D9" w14:textId="774A29B5" w:rsidR="00FA669A" w:rsidRPr="00FA669A" w:rsidRDefault="00FA669A" w:rsidP="00A8104F">
      <w:pPr>
        <w:jc w:val="both"/>
        <w:rPr>
          <w:lang w:val="cs-CZ"/>
        </w:rPr>
      </w:pPr>
      <w:r>
        <w:rPr>
          <w:lang w:val="cs-CZ"/>
        </w:rPr>
        <w:t>Podíl každé součásti UP na celkové alokaci prostředků na RVO bude určen podle následujícího vzorce: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037"/>
      </w:tblGrid>
      <w:tr w:rsidR="00A8104F" w14:paraId="7ECE2071" w14:textId="77777777" w:rsidTr="00A8104F">
        <w:tc>
          <w:tcPr>
            <w:tcW w:w="7479" w:type="dxa"/>
          </w:tcPr>
          <w:p w14:paraId="56F0DB08" w14:textId="0FE2BA64" w:rsidR="00A8104F" w:rsidRDefault="00785885" w:rsidP="00BB0279">
            <w:pPr>
              <w:jc w:val="both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i,N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i,N-1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i</m:t>
                        </m:r>
                      </m:sub>
                      <m:sup/>
                    </m:sSubSup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i,N-1</m:t>
                            </m:r>
                          </m:sub>
                        </m:sSub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Q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i</m:t>
                            </m:r>
                          </m:sub>
                          <m:sup/>
                        </m:sSubSup>
                      </m:e>
                    </m:nary>
                  </m:den>
                </m:f>
              </m:oMath>
            </m:oMathPara>
          </w:p>
        </w:tc>
        <w:tc>
          <w:tcPr>
            <w:tcW w:w="1037" w:type="dxa"/>
          </w:tcPr>
          <w:p w14:paraId="710F9B85" w14:textId="77777777" w:rsidR="00A8104F" w:rsidRDefault="00A8104F" w:rsidP="006B3421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(1)</w:t>
            </w:r>
          </w:p>
        </w:tc>
      </w:tr>
    </w:tbl>
    <w:p w14:paraId="44BF9B3E" w14:textId="77777777" w:rsidR="00FA669A" w:rsidRPr="00FA669A" w:rsidRDefault="00FA669A" w:rsidP="006B3421">
      <w:pPr>
        <w:jc w:val="both"/>
        <w:rPr>
          <w:lang w:val="cs-CZ"/>
        </w:rPr>
      </w:pPr>
    </w:p>
    <w:p w14:paraId="05B36DAC" w14:textId="28E99BE8" w:rsidR="00FA669A" w:rsidRDefault="00FA669A" w:rsidP="006B3421">
      <w:pPr>
        <w:jc w:val="both"/>
        <w:rPr>
          <w:lang w:val="cs-CZ"/>
        </w:rPr>
      </w:pPr>
      <w:r>
        <w:rPr>
          <w:lang w:val="cs-CZ"/>
        </w:rPr>
        <w:t xml:space="preserve">kde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R</m:t>
            </m:r>
          </m:e>
          <m:sub>
            <m:r>
              <w:rPr>
                <w:rFonts w:ascii="Cambria Math" w:hAnsi="Cambria Math"/>
                <w:lang w:val="cs-CZ"/>
              </w:rPr>
              <m:t>i,N</m:t>
            </m:r>
          </m:sub>
        </m:sSub>
      </m:oMath>
      <w:r>
        <w:rPr>
          <w:lang w:val="cs-CZ"/>
        </w:rPr>
        <w:t xml:space="preserve"> a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R</m:t>
            </m:r>
          </m:e>
          <m:sub>
            <m:r>
              <w:rPr>
                <w:rFonts w:ascii="Cambria Math" w:hAnsi="Cambria Math"/>
                <w:lang w:val="cs-CZ"/>
              </w:rPr>
              <m:t>i,N-1</m:t>
            </m:r>
          </m:sub>
        </m:sSub>
      </m:oMath>
      <w:r>
        <w:rPr>
          <w:lang w:val="cs-CZ"/>
        </w:rPr>
        <w:t xml:space="preserve"> jsou procentuální podíly i-té součásti UP na celkové alokaci prostředků na</w:t>
      </w:r>
      <w:r w:rsidR="00A8104F">
        <w:rPr>
          <w:lang w:val="cs-CZ"/>
        </w:rPr>
        <w:t xml:space="preserve"> RVO v roce N a N-1</w:t>
      </w:r>
      <w:r w:rsidR="006371E4">
        <w:rPr>
          <w:lang w:val="cs-CZ"/>
        </w:rPr>
        <w:t xml:space="preserve"> (pro rok 2020 je podílem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R</m:t>
            </m:r>
          </m:e>
          <m:sub>
            <m:r>
              <w:rPr>
                <w:rFonts w:ascii="Cambria Math" w:hAnsi="Cambria Math"/>
                <w:lang w:val="cs-CZ"/>
              </w:rPr>
              <m:t>i,N-1</m:t>
            </m:r>
          </m:sub>
        </m:sSub>
      </m:oMath>
      <w:r w:rsidR="00225A5A">
        <w:rPr>
          <w:lang w:val="cs-CZ"/>
        </w:rPr>
        <w:t xml:space="preserve"> myšlen podíl </w:t>
      </w:r>
      <w:r w:rsidR="006371E4">
        <w:rPr>
          <w:lang w:val="cs-CZ"/>
        </w:rPr>
        <w:t xml:space="preserve">dané součásti </w:t>
      </w:r>
      <w:r w:rsidR="004036D6">
        <w:rPr>
          <w:lang w:val="cs-CZ"/>
        </w:rPr>
        <w:t>dle</w:t>
      </w:r>
      <w:r w:rsidR="006371E4">
        <w:rPr>
          <w:lang w:val="cs-CZ"/>
        </w:rPr>
        <w:t> hodnocení h16)</w:t>
      </w:r>
      <w:r w:rsidR="00A8104F">
        <w:rPr>
          <w:lang w:val="cs-CZ"/>
        </w:rPr>
        <w:t xml:space="preserve">. Koeficient </w:t>
      </w:r>
      <m:oMath>
        <m:sSubSup>
          <m:sSubSupPr>
            <m:ctrlPr>
              <w:rPr>
                <w:rFonts w:ascii="Cambria Math" w:hAnsi="Cambria Math"/>
                <w:i/>
                <w:lang w:val="cs-CZ"/>
              </w:rPr>
            </m:ctrlPr>
          </m:sSubSupPr>
          <m:e>
            <m:r>
              <w:rPr>
                <w:rFonts w:ascii="Cambria Math" w:hAnsi="Cambria Math"/>
                <w:lang w:val="cs-CZ"/>
              </w:rPr>
              <m:t>Q</m:t>
            </m:r>
          </m:e>
          <m:sub>
            <m:r>
              <w:rPr>
                <w:rFonts w:ascii="Cambria Math" w:hAnsi="Cambria Math"/>
                <w:lang w:val="cs-CZ"/>
              </w:rPr>
              <m:t>i</m:t>
            </m:r>
          </m:sub>
          <m:sup/>
        </m:sSubSup>
      </m:oMath>
      <w:r>
        <w:rPr>
          <w:lang w:val="cs-CZ"/>
        </w:rPr>
        <w:t xml:space="preserve"> </w:t>
      </w:r>
      <w:r w:rsidR="00A8104F">
        <w:rPr>
          <w:lang w:val="cs-CZ"/>
        </w:rPr>
        <w:t xml:space="preserve">reprezentuje </w:t>
      </w:r>
      <w:r>
        <w:rPr>
          <w:lang w:val="cs-CZ"/>
        </w:rPr>
        <w:t>časový vývoj celkové produkce relevantních výsledků tvůrčí činnosti dle Pilíře I</w:t>
      </w:r>
      <w:r w:rsidR="00A8104F">
        <w:rPr>
          <w:lang w:val="cs-CZ"/>
        </w:rPr>
        <w:t xml:space="preserve"> (viz níže)</w:t>
      </w:r>
      <w:r>
        <w:rPr>
          <w:lang w:val="cs-CZ"/>
        </w:rPr>
        <w:t>.</w:t>
      </w:r>
      <w:r w:rsidR="00A8104F">
        <w:rPr>
          <w:lang w:val="cs-CZ"/>
        </w:rPr>
        <w:t xml:space="preserve"> Suma ve jmenovateli je normovací faktor, který zajistí, že součet procentuálních podílu všech součástí na RVO v roce N bude stejně jako v roce </w:t>
      </w:r>
      <m:oMath>
        <m:r>
          <w:rPr>
            <w:rFonts w:ascii="Cambria Math" w:hAnsi="Cambria Math"/>
            <w:lang w:val="cs-CZ"/>
          </w:rPr>
          <m:t xml:space="preserve"> </m:t>
        </m:r>
      </m:oMath>
      <w:r w:rsidR="00A8104F">
        <w:rPr>
          <w:lang w:val="cs-CZ"/>
        </w:rPr>
        <w:t>N-1 roven 100%.</w:t>
      </w:r>
    </w:p>
    <w:p w14:paraId="4F831249" w14:textId="77777777" w:rsidR="00A8104F" w:rsidRDefault="00A8104F" w:rsidP="006B3421">
      <w:pPr>
        <w:jc w:val="both"/>
        <w:rPr>
          <w:lang w:val="cs-CZ"/>
        </w:rPr>
      </w:pPr>
    </w:p>
    <w:p w14:paraId="72615A33" w14:textId="77777777" w:rsidR="00A8104F" w:rsidRDefault="00A8104F" w:rsidP="006B3421">
      <w:pPr>
        <w:jc w:val="both"/>
        <w:rPr>
          <w:lang w:val="cs-CZ"/>
        </w:rPr>
      </w:pPr>
      <w:r w:rsidRPr="00FD2CDD">
        <w:rPr>
          <w:b/>
          <w:lang w:val="cs-CZ"/>
        </w:rPr>
        <w:t xml:space="preserve">Metodika dělení příspěvku na RVO mezi součásti UP: </w:t>
      </w:r>
      <w:r>
        <w:rPr>
          <w:b/>
          <w:lang w:val="cs-CZ"/>
        </w:rPr>
        <w:t>Pilíř I</w:t>
      </w:r>
    </w:p>
    <w:p w14:paraId="1BCE5502" w14:textId="77FEC0B8" w:rsidR="00FA669A" w:rsidRDefault="00200602" w:rsidP="006B3421">
      <w:pPr>
        <w:jc w:val="both"/>
        <w:rPr>
          <w:lang w:val="cs-CZ"/>
        </w:rPr>
      </w:pPr>
      <w:r>
        <w:rPr>
          <w:lang w:val="cs-CZ"/>
        </w:rPr>
        <w:t xml:space="preserve">Pilíř I je podobně jako modul M2 národní metodiky M2017+ nástrojem, který sleduje a hodnotí celkovou produkci relevantních výsledků tvůrčí činnosti dané součásti. Výsledný koeficient </w:t>
      </w:r>
      <m:oMath>
        <m:r>
          <w:rPr>
            <w:rFonts w:ascii="Cambria Math" w:hAnsi="Cambria Math"/>
            <w:lang w:val="cs-CZ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Q</m:t>
            </m:r>
          </m:e>
          <m:sub>
            <m:r>
              <w:rPr>
                <w:rFonts w:ascii="Cambria Math" w:hAnsi="Cambria Math"/>
                <w:lang w:val="cs-CZ"/>
              </w:rPr>
              <m:t>i</m:t>
            </m:r>
          </m:sub>
        </m:sSub>
      </m:oMath>
      <w:r>
        <w:rPr>
          <w:lang w:val="cs-CZ"/>
        </w:rPr>
        <w:t xml:space="preserve"> je vypočten jako poměr celkové produkce dané součásti v hodnoceném období ku celkové produkci v předchozím, referenčním období. </w:t>
      </w:r>
    </w:p>
    <w:p w14:paraId="559FF894" w14:textId="77777777" w:rsidR="00200602" w:rsidRDefault="00200602" w:rsidP="006B3421">
      <w:pPr>
        <w:jc w:val="both"/>
        <w:rPr>
          <w:lang w:val="cs-CZ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037"/>
      </w:tblGrid>
      <w:tr w:rsidR="00200602" w14:paraId="7D1B00F3" w14:textId="77777777" w:rsidTr="00200602">
        <w:tc>
          <w:tcPr>
            <w:tcW w:w="7479" w:type="dxa"/>
          </w:tcPr>
          <w:p w14:paraId="75103136" w14:textId="77777777" w:rsidR="00200602" w:rsidRDefault="00785885" w:rsidP="00200602">
            <w:pPr>
              <w:jc w:val="both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i,hodn.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i,ref.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i,2014-2018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i,2011-2015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037" w:type="dxa"/>
          </w:tcPr>
          <w:p w14:paraId="093CD098" w14:textId="77777777" w:rsidR="00200602" w:rsidRDefault="00200602" w:rsidP="00200602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(2)</w:t>
            </w:r>
          </w:p>
        </w:tc>
      </w:tr>
    </w:tbl>
    <w:p w14:paraId="10007127" w14:textId="77777777" w:rsidR="00200602" w:rsidRDefault="00200602" w:rsidP="006B3421">
      <w:pPr>
        <w:jc w:val="both"/>
        <w:rPr>
          <w:lang w:val="cs-CZ"/>
        </w:rPr>
      </w:pPr>
    </w:p>
    <w:p w14:paraId="7C0196D8" w14:textId="07BF17FE" w:rsidR="00200602" w:rsidRDefault="00E4338A" w:rsidP="006B3421">
      <w:pPr>
        <w:jc w:val="both"/>
        <w:rPr>
          <w:lang w:val="cs-CZ"/>
        </w:rPr>
      </w:pPr>
      <w:r>
        <w:rPr>
          <w:lang w:val="cs-CZ"/>
        </w:rPr>
        <w:t xml:space="preserve">kde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P</m:t>
            </m:r>
          </m:e>
          <m:sub>
            <m:r>
              <w:rPr>
                <w:rFonts w:ascii="Cambria Math" w:hAnsi="Cambria Math"/>
                <w:lang w:val="cs-CZ"/>
              </w:rPr>
              <m:t>i,hodn.</m:t>
            </m:r>
          </m:sub>
        </m:sSub>
      </m:oMath>
      <w:r>
        <w:rPr>
          <w:lang w:val="cs-CZ"/>
        </w:rPr>
        <w:t xml:space="preserve"> a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P</m:t>
            </m:r>
          </m:e>
          <m:sub>
            <m:r>
              <w:rPr>
                <w:rFonts w:ascii="Cambria Math" w:hAnsi="Cambria Math"/>
                <w:lang w:val="cs-CZ"/>
              </w:rPr>
              <m:t>i,ref.</m:t>
            </m:r>
          </m:sub>
        </m:sSub>
      </m:oMath>
      <w:r>
        <w:rPr>
          <w:lang w:val="cs-CZ"/>
        </w:rPr>
        <w:t xml:space="preserve"> označují celkovou produkci relevantních výsledků tvůrčí činnosti i-té součásti v hodnoceném a referenčním období. Tato období jsou v pravé části rovnice 2 pro případ hodnocení v roce 2020 explicitně vyjádřena letopočty.</w:t>
      </w:r>
      <w:r w:rsidR="00E77D87">
        <w:rPr>
          <w:lang w:val="cs-CZ"/>
        </w:rPr>
        <w:t xml:space="preserve"> Pro hodnocení v roce 2020 se tedy jedná o poměr výkonu v letech 2014-2018 ku výkonu v referenčním období 2011-2015 (období, ze kterého vychází hodnocení h16 – pouze v tomto prvním roce bude posun mezi hodnoceným a referenčním obdobím o 3 roky, v dalších letech bude posun pouze o rok, tedy s čtyřletým překryvem obou období, např. v roce 2021 se bude jednat o podíl celkového výkonu v letech 2015-2019 a 2014-2018).</w:t>
      </w:r>
    </w:p>
    <w:p w14:paraId="6404C6B7" w14:textId="1EDF3D42" w:rsidR="007964E7" w:rsidRDefault="000931A3" w:rsidP="006B3421">
      <w:pPr>
        <w:jc w:val="both"/>
        <w:rPr>
          <w:lang w:val="cs-CZ"/>
        </w:rPr>
      </w:pPr>
      <w:r>
        <w:rPr>
          <w:lang w:val="cs-CZ"/>
        </w:rPr>
        <w:t xml:space="preserve">Do celkové produkce vstupují pouze ty typy výsledků tvůrčí činnosti, které jsou pro danou součást popř. vědní obor relevantní, tj. jejich produkce naplňuje hlavní poslání tvůrčí činnosti v daném oboru </w:t>
      </w:r>
      <w:r w:rsidR="00C305B4">
        <w:rPr>
          <w:lang w:val="cs-CZ"/>
        </w:rPr>
        <w:t xml:space="preserve">a </w:t>
      </w:r>
      <w:r>
        <w:rPr>
          <w:lang w:val="cs-CZ"/>
        </w:rPr>
        <w:t xml:space="preserve">je jak z pohledu fakulty tak z pohledu univerzity žádoucí </w:t>
      </w:r>
      <w:r w:rsidR="007964E7">
        <w:rPr>
          <w:lang w:val="cs-CZ"/>
        </w:rPr>
        <w:t>tuto</w:t>
      </w:r>
      <w:r>
        <w:rPr>
          <w:lang w:val="cs-CZ"/>
        </w:rPr>
        <w:t xml:space="preserve"> produkci </w:t>
      </w:r>
      <w:r w:rsidR="007964E7">
        <w:rPr>
          <w:lang w:val="cs-CZ"/>
        </w:rPr>
        <w:t xml:space="preserve">sledovat a </w:t>
      </w:r>
      <w:r>
        <w:rPr>
          <w:lang w:val="cs-CZ"/>
        </w:rPr>
        <w:t xml:space="preserve">podpořit. </w:t>
      </w:r>
      <w:r w:rsidR="007964E7">
        <w:rPr>
          <w:lang w:val="cs-CZ"/>
        </w:rPr>
        <w:t>T</w:t>
      </w:r>
      <w:r>
        <w:rPr>
          <w:lang w:val="cs-CZ"/>
        </w:rPr>
        <w:t>zv. měkké a snadno dos</w:t>
      </w:r>
      <w:r w:rsidR="007964E7">
        <w:rPr>
          <w:lang w:val="cs-CZ"/>
        </w:rPr>
        <w:t xml:space="preserve">ažitelné typy výsledků, které </w:t>
      </w:r>
      <w:r>
        <w:rPr>
          <w:lang w:val="cs-CZ"/>
        </w:rPr>
        <w:t xml:space="preserve">mají </w:t>
      </w:r>
      <w:r w:rsidR="007964E7">
        <w:rPr>
          <w:lang w:val="cs-CZ"/>
        </w:rPr>
        <w:t>zanedbatelný</w:t>
      </w:r>
      <w:r>
        <w:rPr>
          <w:lang w:val="cs-CZ"/>
        </w:rPr>
        <w:t xml:space="preserve"> význam pro tvůrčí činnost v daném oboru nejsou ve vnitřní metodice sledovány a nevstupují do hodnocení.</w:t>
      </w:r>
      <w:r w:rsidR="007964E7">
        <w:rPr>
          <w:lang w:val="cs-CZ"/>
        </w:rPr>
        <w:t xml:space="preserve"> </w:t>
      </w:r>
      <w:r w:rsidR="00727A93">
        <w:rPr>
          <w:lang w:val="cs-CZ"/>
        </w:rPr>
        <w:t xml:space="preserve">V hodnocení budou zohledněny pouze ty výsledky, které odešly do databáze RIV. </w:t>
      </w:r>
      <w:r w:rsidR="007964E7">
        <w:rPr>
          <w:lang w:val="cs-CZ"/>
        </w:rPr>
        <w:t xml:space="preserve">Typy sledovaných výsledků </w:t>
      </w:r>
      <w:r w:rsidR="00325BA5">
        <w:rPr>
          <w:lang w:val="cs-CZ"/>
        </w:rPr>
        <w:t>mohou být</w:t>
      </w:r>
      <w:r w:rsidR="007964E7">
        <w:rPr>
          <w:lang w:val="cs-CZ"/>
        </w:rPr>
        <w:t xml:space="preserve"> oborově specifické, tj. jednotlivé součásti </w:t>
      </w:r>
      <w:r w:rsidR="00121E55">
        <w:rPr>
          <w:lang w:val="cs-CZ"/>
        </w:rPr>
        <w:t xml:space="preserve">popř. </w:t>
      </w:r>
      <w:r w:rsidR="007964E7">
        <w:rPr>
          <w:lang w:val="cs-CZ"/>
        </w:rPr>
        <w:t>i obory se mohou lišit typy výsledků, kter</w:t>
      </w:r>
      <w:r w:rsidR="00C305B4">
        <w:rPr>
          <w:lang w:val="cs-CZ"/>
        </w:rPr>
        <w:t>é jsou sledovány a změna jejich</w:t>
      </w:r>
      <w:r w:rsidR="007964E7">
        <w:rPr>
          <w:lang w:val="cs-CZ"/>
        </w:rPr>
        <w:t xml:space="preserve"> produkce je vyhodnocována v rámci daného oboru a součásti. </w:t>
      </w:r>
      <w:r w:rsidR="00325BA5">
        <w:rPr>
          <w:lang w:val="cs-CZ"/>
        </w:rPr>
        <w:t xml:space="preserve">V případech, kdy některý typ výsledku nebude sledován za celou fakulty, ale jen za některý z jejích oborů, bude vždy vyspecifikováno v rámci definice tohoto typu výsledku pro který obor je sledován včetně vymezení tohoto oboru. </w:t>
      </w:r>
      <w:r w:rsidR="009F6B12">
        <w:rPr>
          <w:lang w:val="cs-CZ"/>
        </w:rPr>
        <w:t>V případě, že výsledek byl vytvořen v rámci mezioborová spolupráce a je hodnocen na součásti ale</w:t>
      </w:r>
      <w:r w:rsidR="001F291A">
        <w:rPr>
          <w:lang w:val="cs-CZ"/>
        </w:rPr>
        <w:t>spoň jednoho ze spoluautorů, za</w:t>
      </w:r>
      <w:r w:rsidR="009F6B12">
        <w:rPr>
          <w:lang w:val="cs-CZ"/>
        </w:rPr>
        <w:t xml:space="preserve">počítají se autorské podíly výsledku všem spoluautorům. </w:t>
      </w:r>
      <w:r w:rsidR="007964E7">
        <w:rPr>
          <w:lang w:val="cs-CZ"/>
        </w:rPr>
        <w:t>Jelikož se v rovnici 2 jedná o poměr celkové produkce dané součásti, nedochází nikdy k horizontálnímu porovnávání mezi součástmi, tj. výkon dané součásti je vždy sledován vždy jen ve vztahu k této součásti a jejímu výkonu v referenčním období.</w:t>
      </w:r>
    </w:p>
    <w:p w14:paraId="49081922" w14:textId="65DE690B" w:rsidR="00E77D87" w:rsidRDefault="00E77D87" w:rsidP="006B3421">
      <w:pPr>
        <w:jc w:val="both"/>
        <w:rPr>
          <w:lang w:val="cs-CZ"/>
        </w:rPr>
      </w:pPr>
      <w:r>
        <w:rPr>
          <w:lang w:val="cs-CZ"/>
        </w:rPr>
        <w:lastRenderedPageBreak/>
        <w:t xml:space="preserve">Z důvodu velmi úzké provázanosti LF a FNOL, bude pro výpočet koeficientu </w:t>
      </w:r>
      <w:r w:rsidRPr="00E77D87">
        <w:rPr>
          <w:i/>
          <w:lang w:val="cs-CZ"/>
        </w:rPr>
        <w:t>Q</w:t>
      </w:r>
      <w:r w:rsidRPr="00E77D87">
        <w:rPr>
          <w:i/>
          <w:vertAlign w:val="subscript"/>
          <w:lang w:val="cs-CZ"/>
        </w:rPr>
        <w:t>i</w:t>
      </w:r>
      <w:r>
        <w:rPr>
          <w:lang w:val="cs-CZ"/>
        </w:rPr>
        <w:t xml:space="preserve"> LF použit podíl společné celkové produkce LF a FNOL.</w:t>
      </w:r>
    </w:p>
    <w:p w14:paraId="26484A33" w14:textId="4870CB6A" w:rsidR="007964E7" w:rsidRDefault="00121E55" w:rsidP="006B3421">
      <w:pPr>
        <w:jc w:val="both"/>
        <w:rPr>
          <w:lang w:val="cs-CZ"/>
        </w:rPr>
      </w:pPr>
      <w:r>
        <w:rPr>
          <w:lang w:val="cs-CZ"/>
        </w:rPr>
        <w:t>Pro hodnocení celkového výkonu</w:t>
      </w:r>
      <w:r w:rsidR="007964E7">
        <w:rPr>
          <w:lang w:val="cs-CZ"/>
        </w:rPr>
        <w:t xml:space="preserve"> </w:t>
      </w:r>
      <w:r>
        <w:rPr>
          <w:lang w:val="cs-CZ"/>
        </w:rPr>
        <w:t xml:space="preserve">budou použity tyto </w:t>
      </w:r>
      <w:r w:rsidR="007964E7">
        <w:rPr>
          <w:lang w:val="cs-CZ"/>
        </w:rPr>
        <w:t>typy výsledků</w:t>
      </w:r>
      <w:r w:rsidR="00B261D0">
        <w:rPr>
          <w:lang w:val="cs-CZ"/>
        </w:rPr>
        <w:t>, kterým bude přiřazena následující bodová hodnota</w:t>
      </w:r>
      <w:r w:rsidR="008C17AA">
        <w:rPr>
          <w:lang w:val="cs-CZ"/>
        </w:rPr>
        <w:t xml:space="preserve"> (v případě výsledků PF </w:t>
      </w:r>
      <w:r w:rsidR="00AF621E">
        <w:rPr>
          <w:lang w:val="cs-CZ"/>
        </w:rPr>
        <w:t>si s ohledem na nástup nového děkana PF na konci ledna 2020 vyhrazuje PF UP právo na možné úpravy po tomto datu</w:t>
      </w:r>
      <w:r w:rsidR="008C17AA">
        <w:rPr>
          <w:lang w:val="cs-CZ"/>
        </w:rPr>
        <w:t>)</w:t>
      </w:r>
      <w:r w:rsidR="007964E7">
        <w:rPr>
          <w:lang w:val="cs-CZ"/>
        </w:rPr>
        <w:t>:</w:t>
      </w:r>
    </w:p>
    <w:p w14:paraId="3E5359B3" w14:textId="40D9AE69" w:rsidR="00E4338A" w:rsidRDefault="008D3AB5" w:rsidP="007964E7">
      <w:pPr>
        <w:pStyle w:val="ListParagraph"/>
        <w:numPr>
          <w:ilvl w:val="0"/>
          <w:numId w:val="1"/>
        </w:numPr>
        <w:jc w:val="both"/>
        <w:rPr>
          <w:lang w:val="cs-CZ"/>
        </w:rPr>
      </w:pPr>
      <w:r>
        <w:rPr>
          <w:lang w:val="cs-CZ"/>
        </w:rPr>
        <w:t>J</w:t>
      </w:r>
      <w:r w:rsidRPr="008D3AB5">
        <w:rPr>
          <w:vertAlign w:val="subscript"/>
          <w:lang w:val="cs-CZ"/>
        </w:rPr>
        <w:t>imp</w:t>
      </w:r>
      <w:r>
        <w:rPr>
          <w:lang w:val="cs-CZ"/>
        </w:rPr>
        <w:t xml:space="preserve"> – výsledek publikační činnosti v impaktovaných časopisech indexovaných v databázi WoS. J</w:t>
      </w:r>
      <w:r w:rsidRPr="008D3AB5">
        <w:rPr>
          <w:vertAlign w:val="subscript"/>
          <w:lang w:val="cs-CZ"/>
        </w:rPr>
        <w:t>imp</w:t>
      </w:r>
      <w:r w:rsidR="00E77D87">
        <w:rPr>
          <w:lang w:val="cs-CZ"/>
        </w:rPr>
        <w:t xml:space="preserve"> bude počítán</w:t>
      </w:r>
      <w:r>
        <w:rPr>
          <w:lang w:val="cs-CZ"/>
        </w:rPr>
        <w:t xml:space="preserve"> dle Article Influence Score</w:t>
      </w:r>
      <w:r w:rsidR="00C305B4">
        <w:rPr>
          <w:lang w:val="cs-CZ"/>
        </w:rPr>
        <w:t xml:space="preserve"> (AIS)</w:t>
      </w:r>
      <w:r>
        <w:rPr>
          <w:lang w:val="cs-CZ"/>
        </w:rPr>
        <w:t xml:space="preserve">, který je používán v národní metodice M2017+ v modulu M2 místo Impakt </w:t>
      </w:r>
      <w:r w:rsidR="00C305B4">
        <w:rPr>
          <w:lang w:val="cs-CZ"/>
        </w:rPr>
        <w:t>F</w:t>
      </w:r>
      <w:r>
        <w:rPr>
          <w:lang w:val="cs-CZ"/>
        </w:rPr>
        <w:t>aktoru a který také lépe postihuje kvalit</w:t>
      </w:r>
      <w:r w:rsidR="00751F02">
        <w:rPr>
          <w:lang w:val="cs-CZ"/>
        </w:rPr>
        <w:t>u časopisu</w:t>
      </w:r>
      <w:r>
        <w:rPr>
          <w:lang w:val="cs-CZ"/>
        </w:rPr>
        <w:t xml:space="preserve"> dle ohlasů článků v daném časopise.  J</w:t>
      </w:r>
      <w:r w:rsidRPr="008D3AB5">
        <w:rPr>
          <w:vertAlign w:val="subscript"/>
          <w:lang w:val="cs-CZ"/>
        </w:rPr>
        <w:t>imp</w:t>
      </w:r>
      <w:r>
        <w:rPr>
          <w:lang w:val="cs-CZ"/>
        </w:rPr>
        <w:t xml:space="preserve"> hodnota bude použita jako kvantitativní míra publikačního výstupu, jelikož její hodnota </w:t>
      </w:r>
      <w:r w:rsidR="001F291A">
        <w:rPr>
          <w:lang w:val="cs-CZ"/>
        </w:rPr>
        <w:t xml:space="preserve">pro každý článek zároveň odráží </w:t>
      </w:r>
      <w:r>
        <w:rPr>
          <w:lang w:val="cs-CZ"/>
        </w:rPr>
        <w:t xml:space="preserve">jeho finanční i časovou náročnost a </w:t>
      </w:r>
      <w:r w:rsidR="00751F02">
        <w:rPr>
          <w:lang w:val="cs-CZ"/>
        </w:rPr>
        <w:t xml:space="preserve">na rozdíl od pouhého počtu výsledků </w:t>
      </w:r>
      <w:r>
        <w:rPr>
          <w:lang w:val="cs-CZ"/>
        </w:rPr>
        <w:t>motivuje k produkci kvalitních impaktovaných publikací.</w:t>
      </w:r>
    </w:p>
    <w:p w14:paraId="7F1CC13A" w14:textId="0FC5D61F" w:rsidR="00937CD6" w:rsidRPr="00937CD6" w:rsidRDefault="00B261D0" w:rsidP="00937CD6">
      <w:pPr>
        <w:pStyle w:val="ListParagraph"/>
        <w:ind w:left="769"/>
        <w:jc w:val="both"/>
        <w:rPr>
          <w:lang w:val="cs-CZ"/>
        </w:rPr>
      </w:pPr>
      <w:r>
        <w:rPr>
          <w:lang w:val="cs-CZ"/>
        </w:rPr>
        <w:t>Hodnota J</w:t>
      </w:r>
      <w:r w:rsidRPr="00B261D0">
        <w:rPr>
          <w:vertAlign w:val="subscript"/>
          <w:lang w:val="cs-CZ"/>
        </w:rPr>
        <w:t>imp</w:t>
      </w:r>
      <w:r>
        <w:rPr>
          <w:lang w:val="cs-CZ"/>
        </w:rPr>
        <w:t xml:space="preserve"> se pohybuje v rozmezí 10 až 305 bodů a je vypočtena pom</w:t>
      </w:r>
      <w:r w:rsidR="00600136">
        <w:rPr>
          <w:lang w:val="cs-CZ"/>
        </w:rPr>
        <w:t>o</w:t>
      </w:r>
      <w:r>
        <w:rPr>
          <w:lang w:val="cs-CZ"/>
        </w:rPr>
        <w:t>cí vzorce J</w:t>
      </w:r>
      <w:r w:rsidRPr="00B261D0">
        <w:rPr>
          <w:vertAlign w:val="subscript"/>
          <w:lang w:val="cs-CZ"/>
        </w:rPr>
        <w:t>imp</w:t>
      </w:r>
      <w:r w:rsidR="00600136">
        <w:rPr>
          <w:lang w:val="cs-CZ"/>
        </w:rPr>
        <w:t xml:space="preserve"> = 10 + 295</w:t>
      </w:r>
      <w:r w:rsidRPr="00B164C8">
        <w:rPr>
          <w:rFonts w:ascii="ＭＳ ゴシック" w:eastAsia="ＭＳ ゴシック"/>
          <w:color w:val="000000"/>
        </w:rPr>
        <w:t>×</w:t>
      </w:r>
      <w:r w:rsidR="00600136">
        <w:rPr>
          <w:lang w:val="cs-CZ"/>
        </w:rPr>
        <w:t>(1 - N)/(1 + (N/0.057)), kde N je normované pořadí časopisu v dané WoS kategorii dle AIS. Normované pořadí časopisu je definováno jako N = (P - 1)/(P</w:t>
      </w:r>
      <w:r w:rsidR="00600136" w:rsidRPr="00600136">
        <w:rPr>
          <w:vertAlign w:val="subscript"/>
          <w:lang w:val="cs-CZ"/>
        </w:rPr>
        <w:t>max</w:t>
      </w:r>
      <w:r w:rsidR="00600136">
        <w:rPr>
          <w:lang w:val="cs-CZ"/>
        </w:rPr>
        <w:t xml:space="preserve"> - 1), kde P je pořadí daného časopisu a P</w:t>
      </w:r>
      <w:r w:rsidR="00600136" w:rsidRPr="00600136">
        <w:rPr>
          <w:vertAlign w:val="subscript"/>
          <w:lang w:val="cs-CZ"/>
        </w:rPr>
        <w:t>max</w:t>
      </w:r>
      <w:r w:rsidR="00600136">
        <w:rPr>
          <w:lang w:val="cs-CZ"/>
        </w:rPr>
        <w:t xml:space="preserve"> celkový počet časopisů ve WoS kategorii. V případě, že časopis odpovídá více WoS kategoriím, použije se průměrné normované pořadí. </w:t>
      </w:r>
    </w:p>
    <w:p w14:paraId="4543C6F7" w14:textId="77777777" w:rsidR="0049677F" w:rsidRDefault="008D3AB5" w:rsidP="008D3AB5">
      <w:pPr>
        <w:pStyle w:val="ListParagraph"/>
        <w:numPr>
          <w:ilvl w:val="0"/>
          <w:numId w:val="1"/>
        </w:numPr>
        <w:jc w:val="both"/>
        <w:rPr>
          <w:lang w:val="cs-CZ"/>
        </w:rPr>
      </w:pPr>
      <w:r>
        <w:rPr>
          <w:lang w:val="cs-CZ"/>
        </w:rPr>
        <w:t>J</w:t>
      </w:r>
      <w:r>
        <w:rPr>
          <w:vertAlign w:val="subscript"/>
          <w:lang w:val="cs-CZ"/>
        </w:rPr>
        <w:t>sc</w:t>
      </w:r>
      <w:r>
        <w:rPr>
          <w:lang w:val="cs-CZ"/>
        </w:rPr>
        <w:t xml:space="preserve"> – výsledek publikační činnosti v recenzovaném časopisech indexovaných v databázi Scopus. </w:t>
      </w:r>
    </w:p>
    <w:p w14:paraId="1EA4F355" w14:textId="6547C139" w:rsidR="008D3AB5" w:rsidRDefault="0073284B" w:rsidP="0049677F">
      <w:pPr>
        <w:pStyle w:val="ListParagraph"/>
        <w:ind w:left="769"/>
        <w:jc w:val="both"/>
        <w:rPr>
          <w:lang w:val="cs-CZ"/>
        </w:rPr>
      </w:pPr>
      <w:r>
        <w:rPr>
          <w:lang w:val="cs-CZ"/>
        </w:rPr>
        <w:t>Bodová hodnota J</w:t>
      </w:r>
      <w:r>
        <w:rPr>
          <w:vertAlign w:val="subscript"/>
          <w:lang w:val="cs-CZ"/>
        </w:rPr>
        <w:t>sc</w:t>
      </w:r>
      <w:r>
        <w:rPr>
          <w:lang w:val="cs-CZ"/>
        </w:rPr>
        <w:t xml:space="preserve"> se pohybuje v rozmezí 10 až 305 bodů a je vypočtena obdobným způsobem jako v případě J</w:t>
      </w:r>
      <w:r w:rsidRPr="0073284B">
        <w:rPr>
          <w:vertAlign w:val="subscript"/>
          <w:lang w:val="cs-CZ"/>
        </w:rPr>
        <w:t>imp</w:t>
      </w:r>
      <w:r>
        <w:rPr>
          <w:lang w:val="cs-CZ"/>
        </w:rPr>
        <w:t xml:space="preserve">, přičemž se použije normované pořadí časopisu v jeho Subject category </w:t>
      </w:r>
      <w:r w:rsidR="00032426">
        <w:rPr>
          <w:lang w:val="cs-CZ"/>
        </w:rPr>
        <w:t>v rámci databáze</w:t>
      </w:r>
      <w:r w:rsidR="006E4713">
        <w:rPr>
          <w:lang w:val="cs-CZ"/>
        </w:rPr>
        <w:t xml:space="preserve"> S</w:t>
      </w:r>
      <w:r w:rsidR="00032426">
        <w:rPr>
          <w:lang w:val="cs-CZ"/>
        </w:rPr>
        <w:t>copus</w:t>
      </w:r>
      <w:r w:rsidR="006E4713">
        <w:rPr>
          <w:lang w:val="cs-CZ"/>
        </w:rPr>
        <w:t xml:space="preserve"> </w:t>
      </w:r>
      <w:r>
        <w:rPr>
          <w:lang w:val="cs-CZ"/>
        </w:rPr>
        <w:t xml:space="preserve">seřazené podle Scimago Journal Rank (SJR). </w:t>
      </w:r>
      <w:r w:rsidR="008D3AB5">
        <w:rPr>
          <w:lang w:val="cs-CZ"/>
        </w:rPr>
        <w:t xml:space="preserve">Toto kritérium bude použito u těch </w:t>
      </w:r>
      <w:r w:rsidR="0073702C">
        <w:rPr>
          <w:lang w:val="cs-CZ"/>
        </w:rPr>
        <w:t>součástí</w:t>
      </w:r>
      <w:r w:rsidR="008D3AB5">
        <w:rPr>
          <w:lang w:val="cs-CZ"/>
        </w:rPr>
        <w:t xml:space="preserve">, </w:t>
      </w:r>
      <w:r w:rsidR="0073702C">
        <w:rPr>
          <w:lang w:val="cs-CZ"/>
        </w:rPr>
        <w:t xml:space="preserve">kde bibliometrie dle databáze WoS není dostatečně vypovídající, viz tabulka níže. V případě, že je </w:t>
      </w:r>
      <w:r w:rsidR="00FF7910">
        <w:rPr>
          <w:lang w:val="cs-CZ"/>
        </w:rPr>
        <w:t xml:space="preserve">výsledek uplatněný na těchto fakultách v časopise </w:t>
      </w:r>
      <w:r w:rsidR="0073702C">
        <w:rPr>
          <w:lang w:val="cs-CZ"/>
        </w:rPr>
        <w:t>indexov</w:t>
      </w:r>
      <w:r w:rsidR="00FF7910">
        <w:rPr>
          <w:lang w:val="cs-CZ"/>
        </w:rPr>
        <w:t>aném</w:t>
      </w:r>
      <w:r w:rsidR="0073702C">
        <w:rPr>
          <w:lang w:val="cs-CZ"/>
        </w:rPr>
        <w:t xml:space="preserve"> jak v databázi WoS, tak v databázi Scopus, použije se </w:t>
      </w:r>
      <w:r w:rsidR="00C268A6">
        <w:rPr>
          <w:lang w:val="cs-CZ"/>
        </w:rPr>
        <w:t>ta hodnota J</w:t>
      </w:r>
      <w:r w:rsidR="00C268A6" w:rsidRPr="00C268A6">
        <w:rPr>
          <w:vertAlign w:val="subscript"/>
          <w:lang w:val="cs-CZ"/>
        </w:rPr>
        <w:t>imp</w:t>
      </w:r>
      <w:r w:rsidR="00C268A6">
        <w:rPr>
          <w:lang w:val="cs-CZ"/>
        </w:rPr>
        <w:t xml:space="preserve"> </w:t>
      </w:r>
      <w:r w:rsidR="006E4713">
        <w:rPr>
          <w:lang w:val="cs-CZ"/>
        </w:rPr>
        <w:t>nebo</w:t>
      </w:r>
      <w:r w:rsidR="00C268A6">
        <w:rPr>
          <w:lang w:val="cs-CZ"/>
        </w:rPr>
        <w:t xml:space="preserve"> J</w:t>
      </w:r>
      <w:r w:rsidR="00C268A6" w:rsidRPr="00C268A6">
        <w:rPr>
          <w:vertAlign w:val="subscript"/>
          <w:lang w:val="cs-CZ"/>
        </w:rPr>
        <w:t>sc</w:t>
      </w:r>
      <w:r w:rsidR="00C268A6">
        <w:rPr>
          <w:lang w:val="cs-CZ"/>
        </w:rPr>
        <w:t>, která je vyšší.</w:t>
      </w:r>
      <w:r w:rsidR="0073702C">
        <w:rPr>
          <w:lang w:val="cs-CZ"/>
        </w:rPr>
        <w:t xml:space="preserve"> </w:t>
      </w:r>
    </w:p>
    <w:p w14:paraId="0A1BDE93" w14:textId="44EF109A" w:rsidR="0049677F" w:rsidRDefault="00E91426" w:rsidP="007964E7">
      <w:pPr>
        <w:pStyle w:val="ListParagraph"/>
        <w:numPr>
          <w:ilvl w:val="0"/>
          <w:numId w:val="1"/>
        </w:numPr>
        <w:jc w:val="both"/>
        <w:rPr>
          <w:lang w:val="cs-CZ"/>
        </w:rPr>
      </w:pPr>
      <w:r>
        <w:rPr>
          <w:lang w:val="cs-CZ"/>
        </w:rPr>
        <w:t>J</w:t>
      </w:r>
      <w:r w:rsidR="00751F02">
        <w:rPr>
          <w:vertAlign w:val="subscript"/>
          <w:lang w:val="cs-CZ"/>
        </w:rPr>
        <w:t>ost</w:t>
      </w:r>
      <w:r>
        <w:rPr>
          <w:lang w:val="cs-CZ"/>
        </w:rPr>
        <w:t xml:space="preserve"> – výsledek publikační činnosti v recenzovaném časopisech, který nespadá do žádné z výše uvedených skupin. Tento typ výsledku bude sledován a hodnocen pouze </w:t>
      </w:r>
      <w:r w:rsidR="00FF7910">
        <w:rPr>
          <w:lang w:val="cs-CZ"/>
        </w:rPr>
        <w:t>na těch součástech</w:t>
      </w:r>
      <w:r>
        <w:rPr>
          <w:lang w:val="cs-CZ"/>
        </w:rPr>
        <w:t xml:space="preserve">, </w:t>
      </w:r>
      <w:r w:rsidR="00FF7910">
        <w:rPr>
          <w:lang w:val="cs-CZ"/>
        </w:rPr>
        <w:t>v jejichž</w:t>
      </w:r>
      <w:r>
        <w:rPr>
          <w:lang w:val="cs-CZ"/>
        </w:rPr>
        <w:t xml:space="preserve"> obor</w:t>
      </w:r>
      <w:r w:rsidR="00FF7910">
        <w:rPr>
          <w:lang w:val="cs-CZ"/>
        </w:rPr>
        <w:t xml:space="preserve">ech </w:t>
      </w:r>
      <w:r w:rsidR="00032426">
        <w:rPr>
          <w:lang w:val="cs-CZ"/>
        </w:rPr>
        <w:t xml:space="preserve">buď </w:t>
      </w:r>
      <w:r w:rsidR="00FF7910">
        <w:rPr>
          <w:lang w:val="cs-CZ"/>
        </w:rPr>
        <w:t>není</w:t>
      </w:r>
      <w:r>
        <w:rPr>
          <w:lang w:val="cs-CZ"/>
        </w:rPr>
        <w:t xml:space="preserve"> možné dosahovat výsledků ve výše zmíněných kategoriích </w:t>
      </w:r>
      <w:r w:rsidR="00F53B7F">
        <w:rPr>
          <w:lang w:val="cs-CZ"/>
        </w:rPr>
        <w:t>nebo je</w:t>
      </w:r>
      <w:r>
        <w:rPr>
          <w:lang w:val="cs-CZ"/>
        </w:rPr>
        <w:t xml:space="preserve"> tento typ výsledku </w:t>
      </w:r>
      <w:r w:rsidR="00FF7910">
        <w:rPr>
          <w:lang w:val="cs-CZ"/>
        </w:rPr>
        <w:t>také považován za relevantní</w:t>
      </w:r>
      <w:r>
        <w:rPr>
          <w:lang w:val="cs-CZ"/>
        </w:rPr>
        <w:t xml:space="preserve"> výsled</w:t>
      </w:r>
      <w:r w:rsidR="00FF7910">
        <w:rPr>
          <w:lang w:val="cs-CZ"/>
        </w:rPr>
        <w:t>ek</w:t>
      </w:r>
      <w:r>
        <w:rPr>
          <w:lang w:val="cs-CZ"/>
        </w:rPr>
        <w:t xml:space="preserve"> tvůrčí činnosti</w:t>
      </w:r>
      <w:r w:rsidR="00C268A6">
        <w:rPr>
          <w:lang w:val="cs-CZ"/>
        </w:rPr>
        <w:t>, viz tabulka níže</w:t>
      </w:r>
      <w:r>
        <w:rPr>
          <w:lang w:val="cs-CZ"/>
        </w:rPr>
        <w:t>.</w:t>
      </w:r>
      <w:r w:rsidR="00095B47">
        <w:rPr>
          <w:lang w:val="cs-CZ"/>
        </w:rPr>
        <w:t xml:space="preserve"> </w:t>
      </w:r>
    </w:p>
    <w:p w14:paraId="3917CC69" w14:textId="64435D6C" w:rsidR="008D3AB5" w:rsidRDefault="00095B47" w:rsidP="0049677F">
      <w:pPr>
        <w:pStyle w:val="ListParagraph"/>
        <w:ind w:left="769"/>
        <w:jc w:val="both"/>
        <w:rPr>
          <w:lang w:val="cs-CZ"/>
        </w:rPr>
      </w:pPr>
      <w:r>
        <w:rPr>
          <w:lang w:val="cs-CZ"/>
        </w:rPr>
        <w:t>Bodové ohodnocení výsledku typu J</w:t>
      </w:r>
      <w:r w:rsidRPr="00095B47">
        <w:rPr>
          <w:vertAlign w:val="subscript"/>
          <w:lang w:val="cs-CZ"/>
        </w:rPr>
        <w:t>ost</w:t>
      </w:r>
      <w:r>
        <w:rPr>
          <w:lang w:val="cs-CZ"/>
        </w:rPr>
        <w:t xml:space="preserve"> je </w:t>
      </w:r>
      <w:r w:rsidR="00C35DCF">
        <w:rPr>
          <w:lang w:val="cs-CZ"/>
        </w:rPr>
        <w:t xml:space="preserve">v případě FF, kde se sledují pouze zahraniční časopisy </w:t>
      </w:r>
      <w:r>
        <w:rPr>
          <w:lang w:val="cs-CZ"/>
        </w:rPr>
        <w:t>10 bodů</w:t>
      </w:r>
      <w:r w:rsidR="00C35DCF">
        <w:rPr>
          <w:lang w:val="cs-CZ"/>
        </w:rPr>
        <w:t>, v případě PF pak 5 bodů</w:t>
      </w:r>
      <w:bookmarkStart w:id="0" w:name="_GoBack"/>
      <w:bookmarkEnd w:id="0"/>
      <w:r>
        <w:rPr>
          <w:lang w:val="cs-CZ"/>
        </w:rPr>
        <w:t>.</w:t>
      </w:r>
    </w:p>
    <w:p w14:paraId="469F3BC7" w14:textId="1439C012" w:rsidR="00C6757B" w:rsidRDefault="00D66244" w:rsidP="007964E7">
      <w:pPr>
        <w:pStyle w:val="ListParagraph"/>
        <w:numPr>
          <w:ilvl w:val="0"/>
          <w:numId w:val="1"/>
        </w:numPr>
        <w:jc w:val="both"/>
        <w:rPr>
          <w:lang w:val="cs-CZ"/>
        </w:rPr>
      </w:pPr>
      <w:r>
        <w:rPr>
          <w:lang w:val="cs-CZ"/>
        </w:rPr>
        <w:t>B,</w:t>
      </w:r>
      <w:r w:rsidR="003D1593">
        <w:rPr>
          <w:lang w:val="cs-CZ"/>
        </w:rPr>
        <w:t xml:space="preserve"> </w:t>
      </w:r>
      <w:r>
        <w:rPr>
          <w:lang w:val="cs-CZ"/>
        </w:rPr>
        <w:t xml:space="preserve">C – odborné knihy a kapitoly v odborných knihách. </w:t>
      </w:r>
      <w:r w:rsidR="00A109DC">
        <w:rPr>
          <w:lang w:val="cs-CZ"/>
        </w:rPr>
        <w:t xml:space="preserve">Odborné knihy budou kategorizovány podle nakladatelství do </w:t>
      </w:r>
      <w:r w:rsidR="005C60DE">
        <w:rPr>
          <w:lang w:val="cs-CZ"/>
        </w:rPr>
        <w:t>tří</w:t>
      </w:r>
      <w:r w:rsidR="00A109DC">
        <w:rPr>
          <w:lang w:val="cs-CZ"/>
        </w:rPr>
        <w:t xml:space="preserve"> kategorií </w:t>
      </w:r>
      <w:r w:rsidR="0049677F">
        <w:rPr>
          <w:lang w:val="cs-CZ"/>
        </w:rPr>
        <w:t>s následujícími bodovými hodnotami B</w:t>
      </w:r>
      <w:r w:rsidR="0049677F" w:rsidRPr="0049677F">
        <w:rPr>
          <w:vertAlign w:val="subscript"/>
          <w:lang w:val="cs-CZ"/>
        </w:rPr>
        <w:t>1</w:t>
      </w:r>
      <w:r w:rsidR="0049677F">
        <w:rPr>
          <w:lang w:val="cs-CZ"/>
        </w:rPr>
        <w:t xml:space="preserve"> = 250 bodů</w:t>
      </w:r>
      <w:r w:rsidR="00A109DC">
        <w:rPr>
          <w:lang w:val="cs-CZ"/>
        </w:rPr>
        <w:t>, B</w:t>
      </w:r>
      <w:r w:rsidR="0049677F" w:rsidRPr="0049677F">
        <w:rPr>
          <w:vertAlign w:val="subscript"/>
          <w:lang w:val="cs-CZ"/>
        </w:rPr>
        <w:t>2</w:t>
      </w:r>
      <w:r w:rsidR="0049677F">
        <w:rPr>
          <w:lang w:val="cs-CZ"/>
        </w:rPr>
        <w:t xml:space="preserve"> = </w:t>
      </w:r>
      <w:r w:rsidR="005C60DE">
        <w:rPr>
          <w:lang w:val="cs-CZ"/>
        </w:rPr>
        <w:t>6</w:t>
      </w:r>
      <w:r w:rsidR="0049677F">
        <w:rPr>
          <w:lang w:val="cs-CZ"/>
        </w:rPr>
        <w:t>0 bodů</w:t>
      </w:r>
      <w:r w:rsidR="005C60DE">
        <w:rPr>
          <w:lang w:val="cs-CZ"/>
        </w:rPr>
        <w:t xml:space="preserve"> a</w:t>
      </w:r>
      <w:r w:rsidR="00A109DC">
        <w:rPr>
          <w:lang w:val="cs-CZ"/>
        </w:rPr>
        <w:t xml:space="preserve"> </w:t>
      </w:r>
      <w:r w:rsidR="0049677F">
        <w:rPr>
          <w:lang w:val="cs-CZ"/>
        </w:rPr>
        <w:t>B</w:t>
      </w:r>
      <w:r w:rsidR="0049677F" w:rsidRPr="0049677F">
        <w:rPr>
          <w:vertAlign w:val="subscript"/>
          <w:lang w:val="cs-CZ"/>
        </w:rPr>
        <w:t>3</w:t>
      </w:r>
      <w:r w:rsidR="0049677F">
        <w:rPr>
          <w:lang w:val="cs-CZ"/>
        </w:rPr>
        <w:t xml:space="preserve"> = </w:t>
      </w:r>
      <w:r w:rsidR="005C60DE">
        <w:rPr>
          <w:lang w:val="cs-CZ"/>
        </w:rPr>
        <w:t>1</w:t>
      </w:r>
      <w:r w:rsidR="0049677F">
        <w:rPr>
          <w:lang w:val="cs-CZ"/>
        </w:rPr>
        <w:t>0 bodů</w:t>
      </w:r>
      <w:r w:rsidR="005C60DE">
        <w:rPr>
          <w:lang w:val="cs-CZ"/>
        </w:rPr>
        <w:t>. Kategorie B</w:t>
      </w:r>
      <w:r w:rsidR="005C60DE" w:rsidRPr="005C60DE">
        <w:rPr>
          <w:vertAlign w:val="subscript"/>
          <w:lang w:val="cs-CZ"/>
        </w:rPr>
        <w:t>1</w:t>
      </w:r>
      <w:r w:rsidR="005C60DE">
        <w:rPr>
          <w:lang w:val="cs-CZ"/>
        </w:rPr>
        <w:t xml:space="preserve"> odpovídá prestižním zahraničním nakladatelstvím pravidelně publikujícím excelentní monografie na mezinárodní úrovni. Kategorie B</w:t>
      </w:r>
      <w:r w:rsidR="005C60DE" w:rsidRPr="005C60DE">
        <w:rPr>
          <w:vertAlign w:val="subscript"/>
          <w:lang w:val="cs-CZ"/>
        </w:rPr>
        <w:t>2</w:t>
      </w:r>
      <w:r w:rsidR="005C60DE">
        <w:rPr>
          <w:lang w:val="cs-CZ"/>
        </w:rPr>
        <w:t xml:space="preserve"> odpovídá velmi dobrým nebo standardním zahraničním i národním nakladatelstvím, které systematicky publikují odbornou literaturu a kategorie B</w:t>
      </w:r>
      <w:r w:rsidR="005C60DE" w:rsidRPr="005C60DE">
        <w:rPr>
          <w:vertAlign w:val="subscript"/>
          <w:lang w:val="cs-CZ"/>
        </w:rPr>
        <w:t>3</w:t>
      </w:r>
      <w:r w:rsidR="005C60DE">
        <w:rPr>
          <w:lang w:val="cs-CZ"/>
        </w:rPr>
        <w:t xml:space="preserve"> zahrnuje nakladatelství, který publikují </w:t>
      </w:r>
      <w:r w:rsidR="005C60DE">
        <w:rPr>
          <w:lang w:val="cs-CZ"/>
        </w:rPr>
        <w:lastRenderedPageBreak/>
        <w:t xml:space="preserve">odbornou literaturu pouze </w:t>
      </w:r>
      <w:r w:rsidR="006836E5">
        <w:rPr>
          <w:lang w:val="cs-CZ"/>
        </w:rPr>
        <w:t>jako svou doplňkovou činnost</w:t>
      </w:r>
      <w:r w:rsidR="005C60DE">
        <w:rPr>
          <w:lang w:val="cs-CZ"/>
        </w:rPr>
        <w:t xml:space="preserve"> a jejich zaměření je primárně na neodborné např. učební texty. Zařazení do těchto kategorií je </w:t>
      </w:r>
      <w:r w:rsidR="00955196">
        <w:rPr>
          <w:lang w:val="cs-CZ"/>
        </w:rPr>
        <w:t>provedeno na základě dohody proděkanů a prorektorů pro vědu a výzkum a bude aktualizováno co dva roky. V případě publikace monografie v novém nakladatelství dojde k jeho zařazení dle dohody proděkanů a prorektorů pro vědu a výzkum.</w:t>
      </w:r>
    </w:p>
    <w:p w14:paraId="2D018848" w14:textId="72430E41" w:rsidR="00DE720D" w:rsidRPr="00DE720D" w:rsidRDefault="00A109DC" w:rsidP="00DE720D">
      <w:pPr>
        <w:pStyle w:val="ListParagraph"/>
        <w:ind w:left="769"/>
        <w:jc w:val="both"/>
        <w:rPr>
          <w:lang w:val="cs-CZ"/>
        </w:rPr>
      </w:pPr>
      <w:r>
        <w:rPr>
          <w:lang w:val="cs-CZ"/>
        </w:rPr>
        <w:t>Kapitoly v knihách budou ohodnoceny dle příslušné</w:t>
      </w:r>
      <w:r w:rsidR="00751F02">
        <w:rPr>
          <w:lang w:val="cs-CZ"/>
        </w:rPr>
        <w:t>ho hodnocení celé</w:t>
      </w:r>
      <w:r>
        <w:rPr>
          <w:lang w:val="cs-CZ"/>
        </w:rPr>
        <w:t xml:space="preserve"> knihy</w:t>
      </w:r>
      <w:r w:rsidR="00751F02">
        <w:rPr>
          <w:lang w:val="cs-CZ"/>
        </w:rPr>
        <w:t xml:space="preserve">, </w:t>
      </w:r>
      <w:r w:rsidR="006E4713">
        <w:rPr>
          <w:lang w:val="cs-CZ"/>
        </w:rPr>
        <w:t>viz výše</w:t>
      </w:r>
      <w:r w:rsidR="00C6757B">
        <w:rPr>
          <w:lang w:val="cs-CZ"/>
        </w:rPr>
        <w:t>,</w:t>
      </w:r>
      <w:r>
        <w:rPr>
          <w:lang w:val="cs-CZ"/>
        </w:rPr>
        <w:t xml:space="preserve"> a </w:t>
      </w:r>
      <w:r w:rsidR="00C6757B">
        <w:rPr>
          <w:lang w:val="cs-CZ"/>
        </w:rPr>
        <w:t xml:space="preserve">to jako podíl z této hodnoty </w:t>
      </w:r>
      <w:r w:rsidR="00751F02">
        <w:rPr>
          <w:lang w:val="cs-CZ"/>
        </w:rPr>
        <w:t xml:space="preserve">dle </w:t>
      </w:r>
      <w:r>
        <w:rPr>
          <w:lang w:val="cs-CZ"/>
        </w:rPr>
        <w:t>poměr</w:t>
      </w:r>
      <w:r w:rsidR="00C6757B">
        <w:rPr>
          <w:lang w:val="cs-CZ"/>
        </w:rPr>
        <w:t>u</w:t>
      </w:r>
      <w:r>
        <w:rPr>
          <w:lang w:val="cs-CZ"/>
        </w:rPr>
        <w:t xml:space="preserve"> stran kapitoly ku celkovému počtu stran v dané knize</w:t>
      </w:r>
      <w:r w:rsidR="00132803">
        <w:rPr>
          <w:lang w:val="cs-CZ"/>
        </w:rPr>
        <w:t>.</w:t>
      </w:r>
      <w:r w:rsidR="00C6757B">
        <w:rPr>
          <w:lang w:val="cs-CZ"/>
        </w:rPr>
        <w:t xml:space="preserve"> </w:t>
      </w:r>
      <w:r w:rsidR="00132803">
        <w:rPr>
          <w:lang w:val="cs-CZ"/>
        </w:rPr>
        <w:t xml:space="preserve">V případě, že kapitoly jedné knihy vykázané na UP budou v souhrnu dosahovat menší hodnoty než je </w:t>
      </w:r>
      <w:r w:rsidR="00C6757B">
        <w:rPr>
          <w:lang w:val="cs-CZ"/>
        </w:rPr>
        <w:t>hodnot</w:t>
      </w:r>
      <w:r w:rsidR="00132803">
        <w:rPr>
          <w:lang w:val="cs-CZ"/>
        </w:rPr>
        <w:t>a</w:t>
      </w:r>
      <w:r w:rsidR="00C6757B">
        <w:rPr>
          <w:lang w:val="cs-CZ"/>
        </w:rPr>
        <w:t xml:space="preserve"> 10% počtu bodů dané knihy</w:t>
      </w:r>
      <w:r w:rsidR="00132803">
        <w:rPr>
          <w:lang w:val="cs-CZ"/>
        </w:rPr>
        <w:t>, bude jim rozdělena tato hodnota, tj. 10% počtu bodů dané knihy</w:t>
      </w:r>
      <w:r w:rsidR="00C6757B">
        <w:rPr>
          <w:lang w:val="cs-CZ"/>
        </w:rPr>
        <w:t>.</w:t>
      </w:r>
      <w:r w:rsidR="008233ED">
        <w:rPr>
          <w:lang w:val="cs-CZ"/>
        </w:rPr>
        <w:t xml:space="preserve"> V případě typu výsledku Slovníková hesla budou hodnoceny pouze ty, které jsou součástí knih zařazených v kategoriích B</w:t>
      </w:r>
      <w:r w:rsidR="008233ED" w:rsidRPr="008233ED">
        <w:rPr>
          <w:vertAlign w:val="subscript"/>
          <w:lang w:val="cs-CZ"/>
        </w:rPr>
        <w:t>1</w:t>
      </w:r>
      <w:r w:rsidR="008233ED">
        <w:rPr>
          <w:lang w:val="cs-CZ"/>
        </w:rPr>
        <w:t xml:space="preserve"> nebo B</w:t>
      </w:r>
      <w:r w:rsidR="008233ED" w:rsidRPr="008233ED">
        <w:rPr>
          <w:vertAlign w:val="subscript"/>
          <w:lang w:val="cs-CZ"/>
        </w:rPr>
        <w:t>2</w:t>
      </w:r>
      <w:r w:rsidR="008233ED">
        <w:rPr>
          <w:lang w:val="cs-CZ"/>
        </w:rPr>
        <w:t>.</w:t>
      </w:r>
    </w:p>
    <w:p w14:paraId="33DB26FC" w14:textId="2DAF17D4" w:rsidR="00DE720D" w:rsidRDefault="00DE720D" w:rsidP="007964E7">
      <w:pPr>
        <w:pStyle w:val="ListParagraph"/>
        <w:numPr>
          <w:ilvl w:val="0"/>
          <w:numId w:val="1"/>
        </w:numPr>
        <w:jc w:val="both"/>
        <w:rPr>
          <w:lang w:val="cs-CZ"/>
        </w:rPr>
      </w:pPr>
      <w:r>
        <w:rPr>
          <w:lang w:val="cs-CZ"/>
        </w:rPr>
        <w:t>D – stať ve sborníku z konference uvedené v databázi CORE informatických konferencí (D</w:t>
      </w:r>
      <w:r w:rsidRPr="00DE720D">
        <w:rPr>
          <w:vertAlign w:val="subscript"/>
          <w:lang w:val="cs-CZ"/>
        </w:rPr>
        <w:t>1</w:t>
      </w:r>
      <w:r>
        <w:rPr>
          <w:lang w:val="cs-CZ"/>
        </w:rPr>
        <w:t xml:space="preserve"> = 165 bodů (konference A</w:t>
      </w:r>
      <w:r>
        <w:t>*</w:t>
      </w:r>
      <w:r>
        <w:rPr>
          <w:lang w:val="cs-CZ"/>
        </w:rPr>
        <w:t>), D</w:t>
      </w:r>
      <w:r w:rsidRPr="00DE720D">
        <w:rPr>
          <w:vertAlign w:val="subscript"/>
          <w:lang w:val="cs-CZ"/>
        </w:rPr>
        <w:t>2</w:t>
      </w:r>
      <w:r>
        <w:rPr>
          <w:lang w:val="cs-CZ"/>
        </w:rPr>
        <w:t xml:space="preserve"> = 90 bodů (konference A), D</w:t>
      </w:r>
      <w:r w:rsidRPr="00DE720D">
        <w:rPr>
          <w:vertAlign w:val="subscript"/>
          <w:lang w:val="cs-CZ"/>
        </w:rPr>
        <w:t>3</w:t>
      </w:r>
      <w:r>
        <w:rPr>
          <w:lang w:val="cs-CZ"/>
        </w:rPr>
        <w:t xml:space="preserve"> = 35 bodů (konference B)</w:t>
      </w:r>
      <w:r w:rsidR="00955196">
        <w:rPr>
          <w:lang w:val="cs-CZ"/>
        </w:rPr>
        <w:t xml:space="preserve"> nebo stať ve sborníku prestižní teologické konference, je-li vydána formou monografie u některého vydavatele zařazeného v kategorii B</w:t>
      </w:r>
      <w:r w:rsidR="00955196" w:rsidRPr="00955196">
        <w:rPr>
          <w:vertAlign w:val="subscript"/>
          <w:lang w:val="cs-CZ"/>
        </w:rPr>
        <w:t>1</w:t>
      </w:r>
      <w:r w:rsidR="00955196">
        <w:rPr>
          <w:lang w:val="cs-CZ"/>
        </w:rPr>
        <w:t>.</w:t>
      </w:r>
    </w:p>
    <w:p w14:paraId="4B00ED99" w14:textId="758A2B63" w:rsidR="00A109DC" w:rsidRDefault="006310FE" w:rsidP="007964E7">
      <w:pPr>
        <w:pStyle w:val="ListParagraph"/>
        <w:numPr>
          <w:ilvl w:val="0"/>
          <w:numId w:val="1"/>
        </w:numPr>
        <w:jc w:val="both"/>
        <w:rPr>
          <w:lang w:val="cs-CZ"/>
        </w:rPr>
      </w:pPr>
      <w:r>
        <w:rPr>
          <w:lang w:val="cs-CZ"/>
        </w:rPr>
        <w:t xml:space="preserve">P </w:t>
      </w:r>
      <w:r w:rsidR="003D1593">
        <w:rPr>
          <w:lang w:val="cs-CZ"/>
        </w:rPr>
        <w:t xml:space="preserve">- </w:t>
      </w:r>
      <w:r w:rsidR="00A109DC">
        <w:rPr>
          <w:lang w:val="cs-CZ"/>
        </w:rPr>
        <w:t xml:space="preserve">Výsledky aplikovaného </w:t>
      </w:r>
      <w:r w:rsidR="003D1593">
        <w:rPr>
          <w:lang w:val="cs-CZ"/>
        </w:rPr>
        <w:t>ve formě</w:t>
      </w:r>
      <w:r w:rsidR="00A109DC">
        <w:rPr>
          <w:lang w:val="cs-CZ"/>
        </w:rPr>
        <w:t xml:space="preserve"> </w:t>
      </w:r>
      <w:r w:rsidR="003D1593">
        <w:rPr>
          <w:lang w:val="cs-CZ"/>
        </w:rPr>
        <w:t xml:space="preserve">patentů s hodnotou </w:t>
      </w:r>
      <w:r>
        <w:rPr>
          <w:lang w:val="cs-CZ"/>
        </w:rPr>
        <w:t>1</w:t>
      </w:r>
      <w:r w:rsidR="003D1593">
        <w:rPr>
          <w:lang w:val="cs-CZ"/>
        </w:rPr>
        <w:t xml:space="preserve">0 bodů </w:t>
      </w:r>
      <w:r>
        <w:rPr>
          <w:lang w:val="cs-CZ"/>
        </w:rPr>
        <w:t xml:space="preserve">za první </w:t>
      </w:r>
      <w:r w:rsidR="006836E5">
        <w:rPr>
          <w:lang w:val="cs-CZ"/>
        </w:rPr>
        <w:t xml:space="preserve">přijatou patentovou přihlášku v patentové rodině </w:t>
      </w:r>
      <w:r w:rsidR="003D1593">
        <w:rPr>
          <w:lang w:val="cs-CZ"/>
        </w:rPr>
        <w:t xml:space="preserve">a </w:t>
      </w:r>
      <w:r w:rsidR="006836E5">
        <w:rPr>
          <w:lang w:val="cs-CZ"/>
        </w:rPr>
        <w:t xml:space="preserve">dalších </w:t>
      </w:r>
      <w:r w:rsidR="003D1593">
        <w:rPr>
          <w:lang w:val="cs-CZ"/>
        </w:rPr>
        <w:t xml:space="preserve">150 bodů </w:t>
      </w:r>
      <w:r w:rsidR="006836E5">
        <w:rPr>
          <w:lang w:val="cs-CZ"/>
        </w:rPr>
        <w:t xml:space="preserve">za první přijatý </w:t>
      </w:r>
      <w:r w:rsidR="003D1593">
        <w:rPr>
          <w:lang w:val="cs-CZ"/>
        </w:rPr>
        <w:t>patent evropský EPO, USA a Japonsko</w:t>
      </w:r>
      <w:r w:rsidR="0039306C">
        <w:rPr>
          <w:lang w:val="cs-CZ"/>
        </w:rPr>
        <w:t xml:space="preserve"> nebo </w:t>
      </w:r>
      <w:r w:rsidR="006836E5">
        <w:rPr>
          <w:lang w:val="cs-CZ"/>
        </w:rPr>
        <w:t xml:space="preserve">PCT v rámci patentové rodiny. Dále 60 bodů za </w:t>
      </w:r>
      <w:r w:rsidR="0039306C">
        <w:rPr>
          <w:lang w:val="cs-CZ"/>
        </w:rPr>
        <w:t>certifikované metodiky</w:t>
      </w:r>
      <w:r w:rsidR="006F46A2">
        <w:rPr>
          <w:lang w:val="cs-CZ"/>
        </w:rPr>
        <w:t>,</w:t>
      </w:r>
      <w:r w:rsidR="0039306C">
        <w:rPr>
          <w:lang w:val="cs-CZ"/>
        </w:rPr>
        <w:t xml:space="preserve"> </w:t>
      </w:r>
      <w:r w:rsidR="006836E5">
        <w:rPr>
          <w:lang w:val="cs-CZ"/>
        </w:rPr>
        <w:t xml:space="preserve">certifikované památkové postupy a </w:t>
      </w:r>
      <w:r w:rsidR="0039306C">
        <w:rPr>
          <w:lang w:val="cs-CZ"/>
        </w:rPr>
        <w:t>validovaného klinicky doporučeného léčebného postupu</w:t>
      </w:r>
      <w:r w:rsidR="006836E5">
        <w:rPr>
          <w:lang w:val="cs-CZ"/>
        </w:rPr>
        <w:t xml:space="preserve"> dle definice z národní metodiky 2013-2016, tj. především za předpokladu řádné certifikace u příslušného úřadu státní správy či jiné k tomu pověřené autority</w:t>
      </w:r>
      <w:r w:rsidR="0039306C">
        <w:rPr>
          <w:lang w:val="cs-CZ"/>
        </w:rPr>
        <w:t>.</w:t>
      </w:r>
    </w:p>
    <w:p w14:paraId="4DD94F48" w14:textId="77777777" w:rsidR="000629EB" w:rsidRDefault="000629EB" w:rsidP="00A109DC">
      <w:pPr>
        <w:jc w:val="both"/>
        <w:rPr>
          <w:lang w:val="cs-CZ"/>
        </w:rPr>
      </w:pPr>
    </w:p>
    <w:p w14:paraId="3B37948C" w14:textId="0B895D4D" w:rsidR="006836E5" w:rsidRDefault="006836E5" w:rsidP="00A109DC">
      <w:pPr>
        <w:jc w:val="both"/>
        <w:rPr>
          <w:lang w:val="cs-CZ"/>
        </w:rPr>
      </w:pPr>
      <w:r>
        <w:rPr>
          <w:lang w:val="cs-CZ"/>
        </w:rPr>
        <w:t>N</w:t>
      </w:r>
      <w:r>
        <w:rPr>
          <w:lang w:val="cs-CZ"/>
        </w:rPr>
        <w:t>ásledující tabulka</w:t>
      </w:r>
      <w:r>
        <w:rPr>
          <w:lang w:val="cs-CZ"/>
        </w:rPr>
        <w:t xml:space="preserve"> </w:t>
      </w:r>
      <w:r>
        <w:rPr>
          <w:lang w:val="cs-CZ"/>
        </w:rPr>
        <w:t>shrnuje</w:t>
      </w:r>
      <w:r>
        <w:rPr>
          <w:lang w:val="cs-CZ"/>
        </w:rPr>
        <w:t xml:space="preserve"> typy výsledků sledovaných a hodnocených na jednotlivých součástech UP.</w:t>
      </w:r>
    </w:p>
    <w:tbl>
      <w:tblPr>
        <w:tblStyle w:val="MediumList2-Accent1"/>
        <w:tblW w:w="0" w:type="auto"/>
        <w:jc w:val="center"/>
        <w:tblLook w:val="04A0" w:firstRow="1" w:lastRow="0" w:firstColumn="1" w:lastColumn="0" w:noHBand="0" w:noVBand="1"/>
      </w:tblPr>
      <w:tblGrid>
        <w:gridCol w:w="1216"/>
        <w:gridCol w:w="1216"/>
        <w:gridCol w:w="1216"/>
        <w:gridCol w:w="1217"/>
        <w:gridCol w:w="1217"/>
        <w:gridCol w:w="1217"/>
        <w:gridCol w:w="1217"/>
      </w:tblGrid>
      <w:tr w:rsidR="000629EB" w14:paraId="6E1D225C" w14:textId="77777777" w:rsidTr="000629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16" w:type="dxa"/>
          </w:tcPr>
          <w:p w14:paraId="2AAB7CD9" w14:textId="77777777" w:rsidR="000629EB" w:rsidRDefault="000629EB" w:rsidP="00A109DC">
            <w:pPr>
              <w:jc w:val="both"/>
              <w:rPr>
                <w:lang w:val="cs-CZ"/>
              </w:rPr>
            </w:pPr>
          </w:p>
        </w:tc>
        <w:tc>
          <w:tcPr>
            <w:tcW w:w="1216" w:type="dxa"/>
          </w:tcPr>
          <w:p w14:paraId="0FE16295" w14:textId="25439EF3" w:rsidR="000629EB" w:rsidRDefault="000629EB" w:rsidP="000629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J</w:t>
            </w:r>
            <w:r w:rsidRPr="000629EB">
              <w:rPr>
                <w:vertAlign w:val="subscript"/>
                <w:lang w:val="cs-CZ"/>
              </w:rPr>
              <w:t>imp</w:t>
            </w:r>
          </w:p>
        </w:tc>
        <w:tc>
          <w:tcPr>
            <w:tcW w:w="1216" w:type="dxa"/>
          </w:tcPr>
          <w:p w14:paraId="548FA81F" w14:textId="2E35A420" w:rsidR="000629EB" w:rsidRDefault="000629EB" w:rsidP="000629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J</w:t>
            </w:r>
            <w:r w:rsidRPr="000629EB">
              <w:rPr>
                <w:vertAlign w:val="subscript"/>
                <w:lang w:val="cs-CZ"/>
              </w:rPr>
              <w:t>sc</w:t>
            </w:r>
          </w:p>
        </w:tc>
        <w:tc>
          <w:tcPr>
            <w:tcW w:w="1217" w:type="dxa"/>
          </w:tcPr>
          <w:p w14:paraId="26319DBB" w14:textId="5AE61CEA" w:rsidR="000629EB" w:rsidRDefault="000629EB" w:rsidP="000629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J</w:t>
            </w:r>
            <w:r w:rsidRPr="000629EB">
              <w:rPr>
                <w:vertAlign w:val="subscript"/>
                <w:lang w:val="cs-CZ"/>
              </w:rPr>
              <w:t>ost</w:t>
            </w:r>
          </w:p>
        </w:tc>
        <w:tc>
          <w:tcPr>
            <w:tcW w:w="1217" w:type="dxa"/>
          </w:tcPr>
          <w:p w14:paraId="587CDB0F" w14:textId="48F02D2D" w:rsidR="000629EB" w:rsidRDefault="000629EB" w:rsidP="000629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B/C</w:t>
            </w:r>
          </w:p>
        </w:tc>
        <w:tc>
          <w:tcPr>
            <w:tcW w:w="1217" w:type="dxa"/>
          </w:tcPr>
          <w:p w14:paraId="48ECBD45" w14:textId="4101EDF7" w:rsidR="000629EB" w:rsidRDefault="000629EB" w:rsidP="000629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P</w:t>
            </w:r>
          </w:p>
        </w:tc>
        <w:tc>
          <w:tcPr>
            <w:tcW w:w="1217" w:type="dxa"/>
          </w:tcPr>
          <w:p w14:paraId="3D25CC58" w14:textId="0212F5AD" w:rsidR="000629EB" w:rsidRDefault="000629EB" w:rsidP="000629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D</w:t>
            </w:r>
          </w:p>
        </w:tc>
      </w:tr>
      <w:tr w:rsidR="000629EB" w14:paraId="63F22BD0" w14:textId="77777777" w:rsidTr="00062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6EBC0DD1" w14:textId="3BA0FD3B" w:rsidR="000629EB" w:rsidRDefault="000629EB" w:rsidP="00A109DC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PřF</w:t>
            </w:r>
          </w:p>
        </w:tc>
        <w:tc>
          <w:tcPr>
            <w:tcW w:w="1216" w:type="dxa"/>
          </w:tcPr>
          <w:p w14:paraId="3F6B086E" w14:textId="2C679244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6" w:type="dxa"/>
          </w:tcPr>
          <w:p w14:paraId="082F4765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18D2A298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63B45DD5" w14:textId="722CB9C2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1980B290" w14:textId="38DF4BBA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794EED4A" w14:textId="39FAC29B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  <w:r w:rsidR="006A700C" w:rsidRPr="006A700C">
              <w:rPr>
                <w:rFonts w:ascii="Calibri" w:hAnsi="Calibri"/>
                <w:vertAlign w:val="superscript"/>
                <w:lang w:val="cs-CZ"/>
              </w:rPr>
              <w:t>a</w:t>
            </w:r>
          </w:p>
        </w:tc>
      </w:tr>
      <w:tr w:rsidR="000629EB" w14:paraId="2D09815F" w14:textId="77777777" w:rsidTr="000629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5C87B52F" w14:textId="2A1F897E" w:rsidR="000629EB" w:rsidRDefault="000629EB" w:rsidP="00A109DC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LF</w:t>
            </w:r>
          </w:p>
        </w:tc>
        <w:tc>
          <w:tcPr>
            <w:tcW w:w="1216" w:type="dxa"/>
          </w:tcPr>
          <w:p w14:paraId="5D3EB81F" w14:textId="78BE8074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6" w:type="dxa"/>
          </w:tcPr>
          <w:p w14:paraId="4A2A5441" w14:textId="77777777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54EF1708" w14:textId="77777777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73536A71" w14:textId="765A0E08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62275767" w14:textId="45CE064D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1A50E90E" w14:textId="77777777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0629EB" w14:paraId="386E1768" w14:textId="77777777" w:rsidTr="00062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60B4F7B2" w14:textId="16EA5E13" w:rsidR="000629EB" w:rsidRDefault="000629EB" w:rsidP="00A109DC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FF</w:t>
            </w:r>
          </w:p>
        </w:tc>
        <w:tc>
          <w:tcPr>
            <w:tcW w:w="1216" w:type="dxa"/>
          </w:tcPr>
          <w:p w14:paraId="198F4DDE" w14:textId="3F52E6D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6" w:type="dxa"/>
          </w:tcPr>
          <w:p w14:paraId="29AB0E33" w14:textId="72F4F065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224C781F" w14:textId="7529C073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  <w:r w:rsidR="00BD6F8A" w:rsidRPr="00BD6F8A">
              <w:rPr>
                <w:rFonts w:ascii="Calibri" w:hAnsi="Calibri"/>
                <w:vertAlign w:val="superscript"/>
                <w:lang w:val="cs-CZ"/>
              </w:rPr>
              <w:t>b</w:t>
            </w:r>
          </w:p>
        </w:tc>
        <w:tc>
          <w:tcPr>
            <w:tcW w:w="1217" w:type="dxa"/>
          </w:tcPr>
          <w:p w14:paraId="6AA8FC93" w14:textId="77D95073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6FEE7FE5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2BAD74FF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0629EB" w14:paraId="0615AAF0" w14:textId="77777777" w:rsidTr="000629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7284B02B" w14:textId="3827B454" w:rsidR="000629EB" w:rsidRDefault="000629EB" w:rsidP="00A109DC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CMTF</w:t>
            </w:r>
          </w:p>
        </w:tc>
        <w:tc>
          <w:tcPr>
            <w:tcW w:w="1216" w:type="dxa"/>
          </w:tcPr>
          <w:p w14:paraId="67675515" w14:textId="6A6E93F4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6" w:type="dxa"/>
          </w:tcPr>
          <w:p w14:paraId="02380363" w14:textId="39B7567E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39E6B100" w14:textId="77777777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62212424" w14:textId="66F03C3E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2C747370" w14:textId="77777777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0A7D5AEB" w14:textId="6F9953DB" w:rsidR="000629EB" w:rsidRDefault="006310FE" w:rsidP="006310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  <w:r>
              <w:rPr>
                <w:rFonts w:ascii="Calibri" w:hAnsi="Calibri"/>
                <w:vertAlign w:val="superscript"/>
                <w:lang w:val="cs-CZ"/>
              </w:rPr>
              <w:t>c</w:t>
            </w:r>
          </w:p>
        </w:tc>
      </w:tr>
      <w:tr w:rsidR="000629EB" w14:paraId="30A342E4" w14:textId="77777777" w:rsidTr="00062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084B6A32" w14:textId="3277D67C" w:rsidR="000629EB" w:rsidRDefault="000629EB" w:rsidP="00A109DC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PdF</w:t>
            </w:r>
          </w:p>
        </w:tc>
        <w:tc>
          <w:tcPr>
            <w:tcW w:w="1216" w:type="dxa"/>
          </w:tcPr>
          <w:p w14:paraId="5035ABB2" w14:textId="2F2EED48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6" w:type="dxa"/>
          </w:tcPr>
          <w:p w14:paraId="3608B9F6" w14:textId="497DE6BB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07D2D43C" w14:textId="4230248A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3E24A84F" w14:textId="4A6B3FBB" w:rsidR="000629EB" w:rsidRDefault="000629EB" w:rsidP="00D24A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  <w:r w:rsidR="00D24AFC">
              <w:rPr>
                <w:rFonts w:ascii="Calibri" w:hAnsi="Calibri"/>
                <w:vertAlign w:val="superscript"/>
                <w:lang w:val="cs-CZ"/>
              </w:rPr>
              <w:t>d</w:t>
            </w:r>
          </w:p>
        </w:tc>
        <w:tc>
          <w:tcPr>
            <w:tcW w:w="1217" w:type="dxa"/>
          </w:tcPr>
          <w:p w14:paraId="1F59C67A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521FFFC0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0629EB" w14:paraId="08BBEADE" w14:textId="77777777" w:rsidTr="000629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0249EC04" w14:textId="6AF741F4" w:rsidR="000629EB" w:rsidRDefault="000629EB" w:rsidP="00D24AFC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PF</w:t>
            </w:r>
          </w:p>
        </w:tc>
        <w:tc>
          <w:tcPr>
            <w:tcW w:w="1216" w:type="dxa"/>
          </w:tcPr>
          <w:p w14:paraId="68EFF7FE" w14:textId="36519D60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6" w:type="dxa"/>
          </w:tcPr>
          <w:p w14:paraId="5909C15D" w14:textId="7E096E4B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664BE174" w14:textId="199DE4D3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081502B9" w14:textId="321D86C8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2916360B" w14:textId="77777777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54241EBC" w14:textId="77777777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0629EB" w14:paraId="3918633E" w14:textId="77777777" w:rsidTr="00062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2C2DEE96" w14:textId="79AC222B" w:rsidR="000629EB" w:rsidRDefault="000629EB" w:rsidP="00A109DC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FTK</w:t>
            </w:r>
          </w:p>
        </w:tc>
        <w:tc>
          <w:tcPr>
            <w:tcW w:w="1216" w:type="dxa"/>
          </w:tcPr>
          <w:p w14:paraId="7926C336" w14:textId="740F4AE2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6" w:type="dxa"/>
          </w:tcPr>
          <w:p w14:paraId="5F1BDCD6" w14:textId="6E23FB5E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4AF3DF13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08C1B3DF" w14:textId="25D802FC" w:rsidR="000629EB" w:rsidRDefault="000629EB" w:rsidP="00D24A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  <w:r w:rsidR="00D24AFC">
              <w:rPr>
                <w:rFonts w:ascii="Calibri" w:hAnsi="Calibri"/>
                <w:vertAlign w:val="superscript"/>
                <w:lang w:val="cs-CZ"/>
              </w:rPr>
              <w:t>d</w:t>
            </w:r>
          </w:p>
        </w:tc>
        <w:tc>
          <w:tcPr>
            <w:tcW w:w="1217" w:type="dxa"/>
          </w:tcPr>
          <w:p w14:paraId="0A1E2EEF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42FB2DC9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0629EB" w14:paraId="581B3B27" w14:textId="77777777" w:rsidTr="000629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77A41896" w14:textId="5BA7CA66" w:rsidR="000629EB" w:rsidRDefault="000629EB" w:rsidP="00A109DC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FZV</w:t>
            </w:r>
          </w:p>
        </w:tc>
        <w:tc>
          <w:tcPr>
            <w:tcW w:w="1216" w:type="dxa"/>
          </w:tcPr>
          <w:p w14:paraId="6D50353D" w14:textId="09B8A63C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6" w:type="dxa"/>
          </w:tcPr>
          <w:p w14:paraId="39176404" w14:textId="09EDD0A6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5164B4DC" w14:textId="77777777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1F7B39BC" w14:textId="714FF854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5562A4A8" w14:textId="0BD4A42C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4453A62F" w14:textId="77777777" w:rsidR="000629EB" w:rsidRDefault="000629EB" w:rsidP="000629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0629EB" w14:paraId="4B5FF759" w14:textId="77777777" w:rsidTr="00062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27B93E75" w14:textId="5BF01ADE" w:rsidR="000629EB" w:rsidRDefault="000629EB" w:rsidP="00A109DC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VŠÚ</w:t>
            </w:r>
          </w:p>
        </w:tc>
        <w:tc>
          <w:tcPr>
            <w:tcW w:w="1216" w:type="dxa"/>
          </w:tcPr>
          <w:p w14:paraId="089DC894" w14:textId="0BCDEF1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6" w:type="dxa"/>
          </w:tcPr>
          <w:p w14:paraId="2824807A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1B619054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217" w:type="dxa"/>
          </w:tcPr>
          <w:p w14:paraId="08EAAF5A" w14:textId="23F69565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2E55B217" w14:textId="77AAEA8C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rFonts w:ascii="Calibri" w:hAnsi="Calibri"/>
                <w:lang w:val="cs-CZ"/>
              </w:rPr>
              <w:t>•</w:t>
            </w:r>
          </w:p>
        </w:tc>
        <w:tc>
          <w:tcPr>
            <w:tcW w:w="1217" w:type="dxa"/>
          </w:tcPr>
          <w:p w14:paraId="289DDE25" w14:textId="77777777" w:rsidR="000629EB" w:rsidRDefault="000629EB" w:rsidP="000629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</w:p>
        </w:tc>
      </w:tr>
    </w:tbl>
    <w:p w14:paraId="24C363A9" w14:textId="4D78E305" w:rsidR="000629EB" w:rsidRPr="00BD6F8A" w:rsidRDefault="006A700C" w:rsidP="00A109DC">
      <w:pPr>
        <w:jc w:val="both"/>
        <w:rPr>
          <w:sz w:val="20"/>
          <w:lang w:val="cs-CZ"/>
        </w:rPr>
      </w:pPr>
      <w:r w:rsidRPr="00BD6F8A">
        <w:rPr>
          <w:sz w:val="20"/>
          <w:vertAlign w:val="superscript"/>
          <w:lang w:val="cs-CZ"/>
        </w:rPr>
        <w:t>a</w:t>
      </w:r>
      <w:r w:rsidR="00BD6F8A" w:rsidRPr="00BD6F8A">
        <w:rPr>
          <w:sz w:val="20"/>
          <w:lang w:val="cs-CZ"/>
        </w:rPr>
        <w:t xml:space="preserve"> pouze vybrané sborníky z prestižních konferen</w:t>
      </w:r>
      <w:r w:rsidRPr="00BD6F8A">
        <w:rPr>
          <w:sz w:val="20"/>
          <w:lang w:val="cs-CZ"/>
        </w:rPr>
        <w:t>cí v databázi CORE informatických konferencí</w:t>
      </w:r>
    </w:p>
    <w:p w14:paraId="5DC901F9" w14:textId="035D9397" w:rsidR="00BD6F8A" w:rsidRPr="00BD6F8A" w:rsidRDefault="00BD6F8A" w:rsidP="00A109DC">
      <w:pPr>
        <w:jc w:val="both"/>
        <w:rPr>
          <w:sz w:val="20"/>
          <w:vertAlign w:val="subscript"/>
          <w:lang w:val="cs-CZ"/>
        </w:rPr>
      </w:pPr>
      <w:r w:rsidRPr="00BD6F8A">
        <w:rPr>
          <w:sz w:val="20"/>
          <w:vertAlign w:val="superscript"/>
          <w:lang w:val="cs-CZ"/>
        </w:rPr>
        <w:t>b</w:t>
      </w:r>
      <w:r w:rsidRPr="00BD6F8A">
        <w:rPr>
          <w:sz w:val="20"/>
          <w:lang w:val="cs-CZ"/>
        </w:rPr>
        <w:t xml:space="preserve"> pouze zahraniční časopisy J</w:t>
      </w:r>
      <w:r w:rsidRPr="00BD6F8A">
        <w:rPr>
          <w:sz w:val="20"/>
          <w:vertAlign w:val="subscript"/>
          <w:lang w:val="cs-CZ"/>
        </w:rPr>
        <w:t>ost</w:t>
      </w:r>
    </w:p>
    <w:p w14:paraId="6225BA06" w14:textId="07ACC2ED" w:rsidR="006310FE" w:rsidRDefault="006310FE" w:rsidP="00A109DC">
      <w:pPr>
        <w:jc w:val="both"/>
        <w:rPr>
          <w:sz w:val="20"/>
          <w:lang w:val="cs-CZ"/>
        </w:rPr>
      </w:pPr>
      <w:r>
        <w:rPr>
          <w:sz w:val="20"/>
          <w:vertAlign w:val="superscript"/>
          <w:lang w:val="cs-CZ"/>
        </w:rPr>
        <w:t>c</w:t>
      </w:r>
      <w:r w:rsidRPr="00BD6F8A">
        <w:rPr>
          <w:sz w:val="20"/>
          <w:lang w:val="cs-CZ"/>
        </w:rPr>
        <w:t xml:space="preserve"> </w:t>
      </w:r>
      <w:r>
        <w:rPr>
          <w:sz w:val="20"/>
          <w:lang w:val="cs-CZ"/>
        </w:rPr>
        <w:t>pouze vybrané sborníky z prestižních teologických konferencích vydaných knižně v nakladatelství zařazeném v kategorii B</w:t>
      </w:r>
      <w:r w:rsidRPr="006310FE">
        <w:rPr>
          <w:sz w:val="20"/>
          <w:vertAlign w:val="subscript"/>
          <w:lang w:val="cs-CZ"/>
        </w:rPr>
        <w:t>1</w:t>
      </w:r>
    </w:p>
    <w:p w14:paraId="2E9C496D" w14:textId="51687374" w:rsidR="00550A16" w:rsidRPr="00BD6F8A" w:rsidRDefault="00D24AFC" w:rsidP="00A109DC">
      <w:pPr>
        <w:jc w:val="both"/>
        <w:rPr>
          <w:sz w:val="20"/>
          <w:lang w:val="cs-CZ"/>
        </w:rPr>
      </w:pPr>
      <w:r>
        <w:rPr>
          <w:sz w:val="20"/>
          <w:vertAlign w:val="superscript"/>
          <w:lang w:val="cs-CZ"/>
        </w:rPr>
        <w:t>d</w:t>
      </w:r>
      <w:r w:rsidR="00550A16" w:rsidRPr="00BD6F8A">
        <w:rPr>
          <w:sz w:val="20"/>
          <w:lang w:val="cs-CZ"/>
        </w:rPr>
        <w:t xml:space="preserve"> </w:t>
      </w:r>
      <w:r w:rsidR="00550A16">
        <w:rPr>
          <w:sz w:val="20"/>
          <w:lang w:val="cs-CZ"/>
        </w:rPr>
        <w:t>FTK</w:t>
      </w:r>
      <w:r w:rsidR="00550A16" w:rsidRPr="00BD6F8A">
        <w:rPr>
          <w:sz w:val="20"/>
          <w:lang w:val="cs-CZ"/>
        </w:rPr>
        <w:t xml:space="preserve"> </w:t>
      </w:r>
      <w:r w:rsidR="00CF741B">
        <w:rPr>
          <w:sz w:val="20"/>
          <w:lang w:val="cs-CZ"/>
        </w:rPr>
        <w:t xml:space="preserve">a PdF </w:t>
      </w:r>
      <w:r w:rsidR="00550A16">
        <w:rPr>
          <w:sz w:val="20"/>
          <w:lang w:val="cs-CZ"/>
        </w:rPr>
        <w:t>bude sledovat pouze výsledky typu B, tj. vědecké monografie, nikoliv výsledky typu C, tedy kapitoly v monografiích</w:t>
      </w:r>
    </w:p>
    <w:p w14:paraId="5610F8F6" w14:textId="77777777" w:rsidR="00A109DC" w:rsidRDefault="00A109DC" w:rsidP="00A109DC">
      <w:pPr>
        <w:jc w:val="both"/>
        <w:rPr>
          <w:lang w:val="cs-CZ"/>
        </w:rPr>
      </w:pPr>
    </w:p>
    <w:p w14:paraId="0F87ECBB" w14:textId="77777777" w:rsidR="006836E5" w:rsidRDefault="006836E5" w:rsidP="006836E5">
      <w:pPr>
        <w:jc w:val="both"/>
        <w:rPr>
          <w:lang w:val="cs-CZ"/>
        </w:rPr>
      </w:pPr>
      <w:r>
        <w:rPr>
          <w:lang w:val="cs-CZ"/>
        </w:rPr>
        <w:lastRenderedPageBreak/>
        <w:t>V případě, že má výsledek více spolutvůrců (spoluautorů), bude bodová hodnota výsledku přepočítána na část odpovídající autorskému podílu spolutvůrců z UP, přičemž spolutvůrci (spoluautoři) mimo UP včetně zahraničních spoluautorů se započítávají se stejnou vahou jako domácí tvůrci z UP. Pokud je však počet spolutvůrců tak velký, že by bodová hodnota výsledku klesla pod 10% původní hodnoty, použije se hodnota 10% bodů původní bodové hodnoty. V případě, že se na výsledků podíleli spolutvůrci (spoluautoři) z více součástí UP, bude bodová hodnota výsledku rozdělena mezi tyto součásti podle počtu autorů, a to i v případě, že je výsledek sledován jen na některých z těchto součástí.</w:t>
      </w:r>
    </w:p>
    <w:p w14:paraId="568A37B5" w14:textId="77777777" w:rsidR="006836E5" w:rsidRDefault="006836E5" w:rsidP="00A109DC">
      <w:pPr>
        <w:jc w:val="both"/>
        <w:rPr>
          <w:lang w:val="cs-CZ"/>
        </w:rPr>
      </w:pPr>
    </w:p>
    <w:p w14:paraId="642BCB88" w14:textId="77777777" w:rsidR="00592316" w:rsidRDefault="00A109DC" w:rsidP="00592316">
      <w:pPr>
        <w:jc w:val="both"/>
        <w:rPr>
          <w:lang w:val="cs-CZ"/>
        </w:rPr>
      </w:pPr>
      <w:r>
        <w:rPr>
          <w:lang w:val="cs-CZ"/>
        </w:rPr>
        <w:t xml:space="preserve"> </w:t>
      </w:r>
      <w:r w:rsidR="00592316" w:rsidRPr="00FD2CDD">
        <w:rPr>
          <w:b/>
          <w:lang w:val="cs-CZ"/>
        </w:rPr>
        <w:t xml:space="preserve">Metodika dělení příspěvku na RVO mezi součásti UP: </w:t>
      </w:r>
      <w:r w:rsidR="00592316">
        <w:rPr>
          <w:b/>
          <w:lang w:val="cs-CZ"/>
        </w:rPr>
        <w:t>Pilíř II</w:t>
      </w:r>
    </w:p>
    <w:p w14:paraId="1F1B4F0D" w14:textId="3FB1D411" w:rsidR="001533E1" w:rsidRDefault="00C84CC1" w:rsidP="006532F4">
      <w:pPr>
        <w:jc w:val="both"/>
        <w:rPr>
          <w:lang w:val="cs-CZ"/>
        </w:rPr>
      </w:pPr>
      <w:r>
        <w:rPr>
          <w:lang w:val="cs-CZ"/>
        </w:rPr>
        <w:t xml:space="preserve">Pilíř II </w:t>
      </w:r>
      <w:r w:rsidR="000A6117">
        <w:rPr>
          <w:lang w:val="cs-CZ"/>
        </w:rPr>
        <w:t>bude</w:t>
      </w:r>
      <w:r>
        <w:rPr>
          <w:lang w:val="cs-CZ"/>
        </w:rPr>
        <w:t xml:space="preserve"> podobně jako modul M1 národní metodiky M2017+ nástrojem, který </w:t>
      </w:r>
      <w:r w:rsidR="000A6117">
        <w:rPr>
          <w:lang w:val="cs-CZ"/>
        </w:rPr>
        <w:t xml:space="preserve">bude </w:t>
      </w:r>
      <w:r>
        <w:rPr>
          <w:lang w:val="cs-CZ"/>
        </w:rPr>
        <w:t>sled</w:t>
      </w:r>
      <w:r w:rsidR="000A6117">
        <w:rPr>
          <w:lang w:val="cs-CZ"/>
        </w:rPr>
        <w:t>ovat</w:t>
      </w:r>
      <w:r w:rsidR="00AD4BB3">
        <w:rPr>
          <w:lang w:val="cs-CZ"/>
        </w:rPr>
        <w:t xml:space="preserve"> a</w:t>
      </w:r>
      <w:r w:rsidR="000A6117">
        <w:rPr>
          <w:lang w:val="cs-CZ"/>
        </w:rPr>
        <w:t xml:space="preserve"> </w:t>
      </w:r>
      <w:r>
        <w:rPr>
          <w:lang w:val="cs-CZ"/>
        </w:rPr>
        <w:t>hodnot</w:t>
      </w:r>
      <w:r w:rsidR="000A6117">
        <w:rPr>
          <w:lang w:val="cs-CZ"/>
        </w:rPr>
        <w:t>it</w:t>
      </w:r>
      <w:r>
        <w:rPr>
          <w:lang w:val="cs-CZ"/>
        </w:rPr>
        <w:t xml:space="preserve"> kvalitu produkce tvůrčí činnosti</w:t>
      </w:r>
      <w:r w:rsidR="000A6117">
        <w:rPr>
          <w:lang w:val="cs-CZ"/>
        </w:rPr>
        <w:t xml:space="preserve"> a</w:t>
      </w:r>
      <w:r>
        <w:rPr>
          <w:lang w:val="cs-CZ"/>
        </w:rPr>
        <w:t xml:space="preserve"> modul</w:t>
      </w:r>
      <w:r w:rsidR="000A6117">
        <w:rPr>
          <w:lang w:val="cs-CZ"/>
        </w:rPr>
        <w:t>ovat</w:t>
      </w:r>
      <w:r>
        <w:rPr>
          <w:lang w:val="cs-CZ"/>
        </w:rPr>
        <w:t xml:space="preserve"> dopad koeficientu </w:t>
      </w:r>
      <m:oMath>
        <m:r>
          <w:rPr>
            <w:rFonts w:ascii="Cambria Math" w:hAnsi="Cambria Math"/>
            <w:lang w:val="cs-CZ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Q</m:t>
            </m:r>
          </m:e>
          <m:sub>
            <m:r>
              <w:rPr>
                <w:rFonts w:ascii="Cambria Math" w:hAnsi="Cambria Math"/>
                <w:lang w:val="cs-CZ"/>
              </w:rPr>
              <m:t>i</m:t>
            </m:r>
          </m:sub>
        </m:sSub>
      </m:oMath>
      <w:r>
        <w:rPr>
          <w:lang w:val="cs-CZ"/>
        </w:rPr>
        <w:t xml:space="preserve"> Pilíře I</w:t>
      </w:r>
      <w:r w:rsidR="000A6117">
        <w:rPr>
          <w:lang w:val="cs-CZ"/>
        </w:rPr>
        <w:t xml:space="preserve">. Při dělení RVO v roce 2020 nebude tento pilíř použit a bude v průběhu roku 2020 dopracován tak, aby zajistil spravedlivé, motivační a transparentní hodnocení kvality tvůrčí činnosti na UP. </w:t>
      </w:r>
    </w:p>
    <w:p w14:paraId="4709F12A" w14:textId="77777777" w:rsidR="006532F4" w:rsidRPr="005915AF" w:rsidRDefault="006532F4" w:rsidP="003A4172">
      <w:pPr>
        <w:jc w:val="both"/>
        <w:rPr>
          <w:lang w:val="cs-CZ"/>
        </w:rPr>
      </w:pPr>
    </w:p>
    <w:sectPr w:rsidR="006532F4" w:rsidRPr="005915AF" w:rsidSect="007F4F5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E801CA" w15:done="0"/>
  <w15:commentEx w15:paraId="2946A937" w15:done="0"/>
  <w15:commentEx w15:paraId="67B19536" w15:done="0"/>
  <w15:commentEx w15:paraId="5D42E01D" w15:done="0"/>
  <w15:commentEx w15:paraId="13353905" w15:done="0"/>
  <w15:commentEx w15:paraId="0AB3E520" w15:done="0"/>
  <w15:commentEx w15:paraId="4C2FC38A" w15:done="0"/>
  <w15:commentEx w15:paraId="3467D2C2" w15:done="0"/>
  <w15:commentEx w15:paraId="600E5A95" w15:done="0"/>
  <w15:commentEx w15:paraId="2683B22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94AED"/>
    <w:multiLevelType w:val="hybridMultilevel"/>
    <w:tmpl w:val="6C5C7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C31B9"/>
    <w:multiLevelType w:val="hybridMultilevel"/>
    <w:tmpl w:val="93300D90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">
    <w:nsid w:val="659E3A18"/>
    <w:multiLevelType w:val="hybridMultilevel"/>
    <w:tmpl w:val="B9D46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P">
    <w15:presenceInfo w15:providerId="None" w15:userId="U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21"/>
    <w:rsid w:val="00032426"/>
    <w:rsid w:val="00043E11"/>
    <w:rsid w:val="00061D38"/>
    <w:rsid w:val="000629EB"/>
    <w:rsid w:val="00092BBA"/>
    <w:rsid w:val="000931A3"/>
    <w:rsid w:val="00095B47"/>
    <w:rsid w:val="00096499"/>
    <w:rsid w:val="000A6117"/>
    <w:rsid w:val="000B5944"/>
    <w:rsid w:val="0012150C"/>
    <w:rsid w:val="00121E55"/>
    <w:rsid w:val="0012629D"/>
    <w:rsid w:val="00132803"/>
    <w:rsid w:val="0014015A"/>
    <w:rsid w:val="0014562E"/>
    <w:rsid w:val="001504E6"/>
    <w:rsid w:val="001533E1"/>
    <w:rsid w:val="0018002E"/>
    <w:rsid w:val="00185BE9"/>
    <w:rsid w:val="00186297"/>
    <w:rsid w:val="001F255B"/>
    <w:rsid w:val="001F291A"/>
    <w:rsid w:val="00200602"/>
    <w:rsid w:val="0020190F"/>
    <w:rsid w:val="002050E7"/>
    <w:rsid w:val="002148A2"/>
    <w:rsid w:val="00225A5A"/>
    <w:rsid w:val="0029276F"/>
    <w:rsid w:val="002E0A13"/>
    <w:rsid w:val="002E482E"/>
    <w:rsid w:val="002F6C8C"/>
    <w:rsid w:val="00325BA5"/>
    <w:rsid w:val="0034507D"/>
    <w:rsid w:val="003638AA"/>
    <w:rsid w:val="0039306C"/>
    <w:rsid w:val="003A4172"/>
    <w:rsid w:val="003C4512"/>
    <w:rsid w:val="003D1593"/>
    <w:rsid w:val="004036D6"/>
    <w:rsid w:val="00452106"/>
    <w:rsid w:val="00461518"/>
    <w:rsid w:val="00477A3D"/>
    <w:rsid w:val="004848A5"/>
    <w:rsid w:val="00486391"/>
    <w:rsid w:val="0049677F"/>
    <w:rsid w:val="004A1F55"/>
    <w:rsid w:val="004F0E39"/>
    <w:rsid w:val="004F3FEC"/>
    <w:rsid w:val="004F6DB1"/>
    <w:rsid w:val="005064B5"/>
    <w:rsid w:val="00550A16"/>
    <w:rsid w:val="0057092D"/>
    <w:rsid w:val="00586B46"/>
    <w:rsid w:val="005915AF"/>
    <w:rsid w:val="00592316"/>
    <w:rsid w:val="005B30FF"/>
    <w:rsid w:val="005C60DE"/>
    <w:rsid w:val="005D0559"/>
    <w:rsid w:val="00600136"/>
    <w:rsid w:val="00605684"/>
    <w:rsid w:val="006310FE"/>
    <w:rsid w:val="006371E4"/>
    <w:rsid w:val="006532F4"/>
    <w:rsid w:val="006574AD"/>
    <w:rsid w:val="006836E5"/>
    <w:rsid w:val="006A700C"/>
    <w:rsid w:val="006A730A"/>
    <w:rsid w:val="006B3421"/>
    <w:rsid w:val="006E4713"/>
    <w:rsid w:val="006F46A2"/>
    <w:rsid w:val="00711AEA"/>
    <w:rsid w:val="00727A93"/>
    <w:rsid w:val="00730092"/>
    <w:rsid w:val="0073284B"/>
    <w:rsid w:val="0073702C"/>
    <w:rsid w:val="007425A9"/>
    <w:rsid w:val="00751F02"/>
    <w:rsid w:val="00785885"/>
    <w:rsid w:val="007964E7"/>
    <w:rsid w:val="00797A3C"/>
    <w:rsid w:val="007F4F5E"/>
    <w:rsid w:val="0081440C"/>
    <w:rsid w:val="008233ED"/>
    <w:rsid w:val="00833E4E"/>
    <w:rsid w:val="00894C7E"/>
    <w:rsid w:val="008C17AA"/>
    <w:rsid w:val="008D3AB5"/>
    <w:rsid w:val="008F2D8D"/>
    <w:rsid w:val="008F5705"/>
    <w:rsid w:val="00937CD6"/>
    <w:rsid w:val="00952627"/>
    <w:rsid w:val="00955196"/>
    <w:rsid w:val="009E7699"/>
    <w:rsid w:val="009F6B12"/>
    <w:rsid w:val="00A109DC"/>
    <w:rsid w:val="00A567ED"/>
    <w:rsid w:val="00A67757"/>
    <w:rsid w:val="00A8104F"/>
    <w:rsid w:val="00AC27AF"/>
    <w:rsid w:val="00AD4BB3"/>
    <w:rsid w:val="00AE3827"/>
    <w:rsid w:val="00AF621E"/>
    <w:rsid w:val="00B11316"/>
    <w:rsid w:val="00B261D0"/>
    <w:rsid w:val="00B31DDB"/>
    <w:rsid w:val="00B430DA"/>
    <w:rsid w:val="00B72A42"/>
    <w:rsid w:val="00B80100"/>
    <w:rsid w:val="00BB0279"/>
    <w:rsid w:val="00BD6F8A"/>
    <w:rsid w:val="00C17E9F"/>
    <w:rsid w:val="00C268A6"/>
    <w:rsid w:val="00C305B4"/>
    <w:rsid w:val="00C35DCF"/>
    <w:rsid w:val="00C5065D"/>
    <w:rsid w:val="00C62CEA"/>
    <w:rsid w:val="00C646BB"/>
    <w:rsid w:val="00C6757B"/>
    <w:rsid w:val="00C84CC1"/>
    <w:rsid w:val="00C951FB"/>
    <w:rsid w:val="00CE2CAB"/>
    <w:rsid w:val="00CE4A59"/>
    <w:rsid w:val="00CE57DD"/>
    <w:rsid w:val="00CF414A"/>
    <w:rsid w:val="00CF741B"/>
    <w:rsid w:val="00D1060C"/>
    <w:rsid w:val="00D24AFC"/>
    <w:rsid w:val="00D52A56"/>
    <w:rsid w:val="00D62051"/>
    <w:rsid w:val="00D66244"/>
    <w:rsid w:val="00D67937"/>
    <w:rsid w:val="00D867C8"/>
    <w:rsid w:val="00D9733D"/>
    <w:rsid w:val="00DE720D"/>
    <w:rsid w:val="00E3574E"/>
    <w:rsid w:val="00E4338A"/>
    <w:rsid w:val="00E66FFA"/>
    <w:rsid w:val="00E77D87"/>
    <w:rsid w:val="00E91426"/>
    <w:rsid w:val="00EA7D71"/>
    <w:rsid w:val="00F204B9"/>
    <w:rsid w:val="00F53B7F"/>
    <w:rsid w:val="00FA669A"/>
    <w:rsid w:val="00FB6B80"/>
    <w:rsid w:val="00FD015E"/>
    <w:rsid w:val="00FD2CDD"/>
    <w:rsid w:val="00FF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CFAB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66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6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69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81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64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05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5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50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0E7"/>
    <w:rPr>
      <w:b/>
      <w:bCs/>
      <w:sz w:val="20"/>
      <w:szCs w:val="20"/>
    </w:rPr>
  </w:style>
  <w:style w:type="table" w:styleId="MediumShading2-Accent1">
    <w:name w:val="Medium Shading 2 Accent 1"/>
    <w:basedOn w:val="TableNormal"/>
    <w:uiPriority w:val="64"/>
    <w:rsid w:val="000629E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0629E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66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6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69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81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64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05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5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50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0E7"/>
    <w:rPr>
      <w:b/>
      <w:bCs/>
      <w:sz w:val="20"/>
      <w:szCs w:val="20"/>
    </w:rPr>
  </w:style>
  <w:style w:type="table" w:styleId="MediumShading2-Accent1">
    <w:name w:val="Medium Shading 2 Accent 1"/>
    <w:basedOn w:val="TableNormal"/>
    <w:uiPriority w:val="64"/>
    <w:rsid w:val="000629E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0629E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3" Type="http://schemas.microsoft.com/office/2011/relationships/people" Target="people.xml"/><Relationship Id="rId14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A01F7CF6ADCB4A8FEFEA2550AE1BA9" ma:contentTypeVersion="" ma:contentTypeDescription="Vytvoří nový dokument" ma:contentTypeScope="" ma:versionID="3b97962170fe896628cabecd53487adc">
  <xsd:schema xmlns:xsd="http://www.w3.org/2001/XMLSchema" xmlns:xs="http://www.w3.org/2001/XMLSchema" xmlns:p="http://schemas.microsoft.com/office/2006/metadata/properties" xmlns:ns2="ba3f926f-b026-4609-a39b-a2c134d2ed0a" targetNamespace="http://schemas.microsoft.com/office/2006/metadata/properties" ma:root="true" ma:fieldsID="e551689317d00e5161849a12d81fa29f" ns2:_="">
    <xsd:import namespace="ba3f926f-b026-4609-a39b-a2c134d2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f926f-b026-4609-a39b-a2c134d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C7702-FC20-4F0D-A4AB-B304E247BA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03BBE1-1F28-4660-8ADA-BA1B47343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f926f-b026-4609-a39b-a2c134d2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214A5C-04B9-44B1-8D9A-0CFE5685B6D2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ba3f926f-b026-4609-a39b-a2c134d2ed0a"/>
  </ds:schemaRefs>
</ds:datastoreItem>
</file>

<file path=customXml/itemProps4.xml><?xml version="1.0" encoding="utf-8"?>
<ds:datastoreItem xmlns:ds="http://schemas.openxmlformats.org/officeDocument/2006/customXml" ds:itemID="{04AC9D5E-0BED-5D46-BAF3-41CD4E96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1920</Words>
  <Characters>10944</Characters>
  <Application>Microsoft Macintosh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Olomouc</Company>
  <LinksUpToDate>false</LinksUpToDate>
  <CharactersWithSpaces>12839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Banas</dc:creator>
  <cp:lastModifiedBy>Pavel Banas</cp:lastModifiedBy>
  <cp:revision>11</cp:revision>
  <cp:lastPrinted>2020-01-28T11:39:00Z</cp:lastPrinted>
  <dcterms:created xsi:type="dcterms:W3CDTF">2020-01-30T21:12:00Z</dcterms:created>
  <dcterms:modified xsi:type="dcterms:W3CDTF">2020-02-02T21:36:00Z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0x01010051A01F7CF6ADCB4A8FEFEA2550AE1BA9</vt:lpwstr>
  </property>
</Properties>
</file>