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ED5" w:rsidRDefault="005E19C2" w:rsidP="00367FB0">
      <w:pPr>
        <w:pStyle w:val="Nadpis2"/>
      </w:pPr>
      <w:r w:rsidRPr="00367FB0">
        <w:t xml:space="preserve">Modernizace přízemní části objektu </w:t>
      </w:r>
      <w:proofErr w:type="gramStart"/>
      <w:r w:rsidRPr="00367FB0">
        <w:t>č.47</w:t>
      </w:r>
      <w:proofErr w:type="gramEnd"/>
      <w:r w:rsidR="00367FB0">
        <w:t xml:space="preserve"> </w:t>
      </w:r>
      <w:r w:rsidRPr="00367FB0">
        <w:t xml:space="preserve"> – změny stavby a dodatky ke </w:t>
      </w:r>
      <w:proofErr w:type="spellStart"/>
      <w:r w:rsidRPr="00367FB0">
        <w:t>SoD</w:t>
      </w:r>
      <w:proofErr w:type="spellEnd"/>
      <w:r w:rsidRPr="00367FB0">
        <w:t xml:space="preserve"> č. 487/OVZ/PV/2018, ze dne 4. 9. 2018</w:t>
      </w:r>
    </w:p>
    <w:p w:rsidR="00A7365C" w:rsidRDefault="00A7365C" w:rsidP="00367FB0">
      <w:pPr>
        <w:contextualSpacing/>
        <w:jc w:val="both"/>
        <w:rPr>
          <w:b/>
        </w:rPr>
      </w:pPr>
    </w:p>
    <w:p w:rsidR="00986E3B" w:rsidRDefault="00DC5D3B" w:rsidP="00367FB0">
      <w:pPr>
        <w:contextualSpacing/>
        <w:jc w:val="both"/>
        <w:rPr>
          <w:b/>
        </w:rPr>
      </w:pPr>
      <w:r>
        <w:rPr>
          <w:b/>
        </w:rPr>
        <w:t xml:space="preserve">Stavba </w:t>
      </w:r>
      <w:r w:rsidR="00451BBC">
        <w:rPr>
          <w:b/>
        </w:rPr>
        <w:t xml:space="preserve">projektu vč. přepojení výškové části budovy a úprav pro dětskou skupinu </w:t>
      </w:r>
      <w:r w:rsidR="00D23082">
        <w:rPr>
          <w:b/>
        </w:rPr>
        <w:t>a vč. řešení zpevněných</w:t>
      </w:r>
      <w:r w:rsidR="00451BBC">
        <w:rPr>
          <w:b/>
        </w:rPr>
        <w:t xml:space="preserve"> ploch pěší zóny </w:t>
      </w:r>
      <w:r>
        <w:rPr>
          <w:b/>
        </w:rPr>
        <w:t xml:space="preserve">řešila celkem 63 </w:t>
      </w:r>
      <w:r w:rsidR="00884C8C">
        <w:rPr>
          <w:b/>
        </w:rPr>
        <w:t xml:space="preserve">strukturovaných </w:t>
      </w:r>
      <w:r>
        <w:rPr>
          <w:b/>
        </w:rPr>
        <w:t>změn v celkem 10 dodatcích ke Smlouvě o Dílo.</w:t>
      </w:r>
      <w:r w:rsidR="00624E9A">
        <w:rPr>
          <w:b/>
        </w:rPr>
        <w:t xml:space="preserve"> U </w:t>
      </w:r>
      <w:r w:rsidR="00957F7B">
        <w:rPr>
          <w:b/>
        </w:rPr>
        <w:t>projektu</w:t>
      </w:r>
      <w:r w:rsidR="00624E9A">
        <w:rPr>
          <w:b/>
        </w:rPr>
        <w:t xml:space="preserve"> došlo k prodloužení realizace </w:t>
      </w:r>
      <w:r w:rsidR="00957F7B">
        <w:rPr>
          <w:b/>
        </w:rPr>
        <w:t xml:space="preserve">stavby </w:t>
      </w:r>
      <w:r w:rsidR="000D2C9D">
        <w:rPr>
          <w:b/>
        </w:rPr>
        <w:t>výsledně o</w:t>
      </w:r>
      <w:r w:rsidR="00624E9A">
        <w:rPr>
          <w:b/>
        </w:rPr>
        <w:t xml:space="preserve"> </w:t>
      </w:r>
      <w:r w:rsidR="00957F7B">
        <w:rPr>
          <w:b/>
        </w:rPr>
        <w:t>11 měsíců.</w:t>
      </w:r>
    </w:p>
    <w:p w:rsidR="00986E3B" w:rsidRDefault="00986E3B" w:rsidP="00367FB0">
      <w:pPr>
        <w:contextualSpacing/>
        <w:jc w:val="both"/>
        <w:rPr>
          <w:b/>
        </w:rPr>
      </w:pPr>
    </w:p>
    <w:p w:rsidR="00912EF2" w:rsidRDefault="00912EF2" w:rsidP="00367FB0">
      <w:pPr>
        <w:contextualSpacing/>
        <w:jc w:val="both"/>
      </w:pPr>
      <w:r>
        <w:t xml:space="preserve">Částka pro samotnou dotační část, tzv. Stavby 1 byla oproti nákladům uvedeným v projektové žádosti </w:t>
      </w:r>
      <w:proofErr w:type="spellStart"/>
      <w:r>
        <w:t>vysoutěžena</w:t>
      </w:r>
      <w:proofErr w:type="spellEnd"/>
      <w:r>
        <w:t xml:space="preserve"> </w:t>
      </w:r>
      <w:r w:rsidR="001539BE">
        <w:t>dráž:</w:t>
      </w:r>
    </w:p>
    <w:p w:rsidR="00EA456A" w:rsidRDefault="00EA456A" w:rsidP="00367FB0">
      <w:pPr>
        <w:contextualSpacing/>
        <w:jc w:val="both"/>
      </w:pPr>
    </w:p>
    <w:tbl>
      <w:tblPr>
        <w:tblW w:w="992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3260"/>
        <w:gridCol w:w="3119"/>
      </w:tblGrid>
      <w:tr w:rsidR="001539BE" w:rsidRPr="00624E9A" w:rsidTr="00567ABE">
        <w:trPr>
          <w:trHeight w:val="49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9BE" w:rsidRPr="00624E9A" w:rsidRDefault="001539BE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Projektová žádost stavba dotace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BE" w:rsidRDefault="001539BE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Vysoutěžená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 xml:space="preserve"> cena stavby</w:t>
            </w:r>
          </w:p>
          <w:p w:rsidR="001539BE" w:rsidRPr="00624E9A" w:rsidRDefault="001539BE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dotace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BE" w:rsidRDefault="001539BE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Rozdíl</w:t>
            </w:r>
          </w:p>
          <w:p w:rsidR="001539BE" w:rsidRPr="00624E9A" w:rsidRDefault="001539BE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1539BE" w:rsidRPr="00624E9A" w:rsidTr="0000754D">
        <w:trPr>
          <w:trHeight w:val="300"/>
        </w:trPr>
        <w:tc>
          <w:tcPr>
            <w:tcW w:w="3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9BE" w:rsidRPr="00624E9A" w:rsidRDefault="001539BE" w:rsidP="000075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lang w:eastAsia="cs-CZ"/>
              </w:rPr>
              <w:t>69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624E9A">
              <w:rPr>
                <w:rFonts w:ascii="Calibri" w:eastAsia="Times New Roman" w:hAnsi="Calibri" w:cs="Times New Roman"/>
                <w:lang w:eastAsia="cs-CZ"/>
              </w:rPr>
              <w:t xml:space="preserve"> 219 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>tis.</w:t>
            </w:r>
            <w:r w:rsidRPr="00624E9A">
              <w:rPr>
                <w:rFonts w:ascii="Calibri" w:eastAsia="Times New Roman" w:hAnsi="Calibri" w:cs="Times New Roman"/>
                <w:lang w:eastAsia="cs-CZ"/>
              </w:rPr>
              <w:t xml:space="preserve"> Kč</w:t>
            </w:r>
            <w:r w:rsidR="00EA456A" w:rsidRPr="00A10B05">
              <w:rPr>
                <w:rFonts w:ascii="Calibri" w:eastAsia="Times New Roman" w:hAnsi="Calibri" w:cs="Times New Roman"/>
                <w:lang w:eastAsia="cs-CZ"/>
              </w:rPr>
              <w:t xml:space="preserve"> vč. DPH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39BE" w:rsidRPr="00A10B05" w:rsidRDefault="001539BE" w:rsidP="000075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A10B05">
              <w:rPr>
                <w:rFonts w:ascii="Calibri" w:eastAsia="Times New Roman" w:hAnsi="Calibri" w:cs="Times New Roman"/>
                <w:lang w:eastAsia="cs-CZ"/>
              </w:rPr>
              <w:t>81. 577 tis.</w:t>
            </w:r>
            <w:r w:rsidRPr="00624E9A">
              <w:rPr>
                <w:rFonts w:ascii="Calibri" w:eastAsia="Times New Roman" w:hAnsi="Calibri" w:cs="Times New Roman"/>
                <w:lang w:eastAsia="cs-CZ"/>
              </w:rPr>
              <w:t xml:space="preserve"> Kč</w:t>
            </w:r>
            <w:r w:rsidR="00EA456A" w:rsidRPr="00A10B05">
              <w:rPr>
                <w:rFonts w:ascii="Calibri" w:eastAsia="Times New Roman" w:hAnsi="Calibri" w:cs="Times New Roman"/>
                <w:lang w:eastAsia="cs-CZ"/>
              </w:rPr>
              <w:t xml:space="preserve"> vč. DPH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BE" w:rsidRPr="00A10B05" w:rsidRDefault="005C6328" w:rsidP="001539B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1539BE" w:rsidRPr="00A10B05">
              <w:rPr>
                <w:rFonts w:ascii="Calibri" w:eastAsia="Times New Roman" w:hAnsi="Calibri" w:cs="Times New Roman"/>
                <w:lang w:eastAsia="cs-CZ"/>
              </w:rPr>
              <w:t>12.357 tis. Kč</w:t>
            </w:r>
            <w:r w:rsidR="00EA456A" w:rsidRPr="00A10B05">
              <w:rPr>
                <w:rFonts w:ascii="Calibri" w:eastAsia="Times New Roman" w:hAnsi="Calibri" w:cs="Times New Roman"/>
                <w:lang w:eastAsia="cs-CZ"/>
              </w:rPr>
              <w:t xml:space="preserve"> vč. DPH</w:t>
            </w:r>
          </w:p>
        </w:tc>
      </w:tr>
      <w:tr w:rsidR="001539BE" w:rsidRPr="00624E9A" w:rsidTr="00567ABE">
        <w:trPr>
          <w:trHeight w:val="300"/>
        </w:trPr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9BE" w:rsidRPr="00624E9A" w:rsidRDefault="001539BE" w:rsidP="00A7534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BE" w:rsidRPr="00A10B05" w:rsidRDefault="001539BE" w:rsidP="00A7534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BE" w:rsidRPr="00A10B05" w:rsidRDefault="001539BE" w:rsidP="00E86B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A10B05">
              <w:rPr>
                <w:rFonts w:ascii="Calibri" w:eastAsia="Times New Roman" w:hAnsi="Calibri" w:cs="Times New Roman"/>
                <w:lang w:eastAsia="cs-CZ"/>
              </w:rPr>
              <w:t>+17,9 %</w:t>
            </w:r>
          </w:p>
        </w:tc>
      </w:tr>
    </w:tbl>
    <w:p w:rsidR="001539BE" w:rsidRDefault="001539BE" w:rsidP="00367FB0">
      <w:pPr>
        <w:contextualSpacing/>
        <w:jc w:val="both"/>
      </w:pPr>
    </w:p>
    <w:p w:rsidR="00153180" w:rsidRDefault="00153180" w:rsidP="00153180">
      <w:pPr>
        <w:contextualSpacing/>
        <w:jc w:val="both"/>
      </w:pPr>
      <w:r>
        <w:t xml:space="preserve">Části zpevněných ploch, které byly součástí smlouvy o dílo, ale jedná se o samostatnou investiční akci, byly sníženy na koncovou částku o -85 tis. Kč bez DPH, tj. -94 tis. Kč bez DPH. Samostatná stavba </w:t>
      </w:r>
      <w:proofErr w:type="gramStart"/>
      <w:r>
        <w:t>projektu</w:t>
      </w:r>
      <w:proofErr w:type="gramEnd"/>
      <w:r>
        <w:t xml:space="preserve"> –</w:t>
      </w:r>
      <w:proofErr w:type="gramStart"/>
      <w:r>
        <w:t>dotace</w:t>
      </w:r>
      <w:proofErr w:type="gramEnd"/>
      <w:r>
        <w:t xml:space="preserve"> byla </w:t>
      </w:r>
      <w:proofErr w:type="spellStart"/>
      <w:r>
        <w:t>vysoutěžena</w:t>
      </w:r>
      <w:proofErr w:type="spellEnd"/>
      <w:r>
        <w:t xml:space="preserve"> dráž, než byla hodnota v příslušné kapitole rozpočtu, dále MŠMT vyhodnotilo rekonstrukci výtahu (propočet 1.350 tis Kč, </w:t>
      </w:r>
      <w:proofErr w:type="spellStart"/>
      <w:r>
        <w:t>vysoutěžená</w:t>
      </w:r>
      <w:proofErr w:type="spellEnd"/>
      <w:r>
        <w:t xml:space="preserve"> cena 1.064 tis. Kč bez DPH, tj. 1.166 tis. Kč vč. DPH).  Jako další přímý nezpůsobilý náklad se zde uplatňuje z povahy nezpůsobilosti  OP VVV dodatečně smluvně objednaná rekonstrukce prosklené stěny v aule (895 tis. Kč bez DPH, tj. 981 tis. Kč.). V průběhu řešení projektu bylo vzhledem k výši </w:t>
      </w:r>
      <w:proofErr w:type="spellStart"/>
      <w:r>
        <w:t>vysoutěžených</w:t>
      </w:r>
      <w:proofErr w:type="spellEnd"/>
      <w:r>
        <w:t xml:space="preserve"> nákladů stavby rozhodnuto o přesunu schválených prostředků dotace na interiérové vybavení stavby a vybavení audiovizuální technikou. Interiérové vybavení se realizuje dle </w:t>
      </w:r>
      <w:proofErr w:type="spellStart"/>
      <w:r>
        <w:t>vysoutěžené</w:t>
      </w:r>
      <w:proofErr w:type="spellEnd"/>
      <w:r>
        <w:t xml:space="preserve"> smlouvy, bez dodatku/cenového navýšení. Veřejná zakázka AV techniky byla pro chyby 4 prvních uchazečů zrušena; nabídka posledního uchazeče byla příliš vysoká. Nyní se projekt AV techniky v menších učebnách revidoval a bude se realizovat úspornější varianta s dílčím </w:t>
      </w:r>
      <w:proofErr w:type="spellStart"/>
      <w:r>
        <w:t>donákupem</w:t>
      </w:r>
      <w:proofErr w:type="spellEnd"/>
      <w:r>
        <w:t xml:space="preserve"> systémového vybavení příští rok.</w:t>
      </w:r>
    </w:p>
    <w:p w:rsidR="00912EF2" w:rsidRDefault="00912EF2" w:rsidP="00367FB0">
      <w:pPr>
        <w:contextualSpacing/>
        <w:jc w:val="both"/>
      </w:pPr>
    </w:p>
    <w:p w:rsidR="00E86BEB" w:rsidRDefault="002C4948" w:rsidP="00367FB0">
      <w:pPr>
        <w:contextualSpacing/>
        <w:jc w:val="both"/>
      </w:pPr>
      <w:r>
        <w:t xml:space="preserve">Navýšení </w:t>
      </w:r>
      <w:r w:rsidR="005B1D8A">
        <w:t xml:space="preserve">celkové ceny díla </w:t>
      </w:r>
      <w:r w:rsidR="007E60FF">
        <w:t xml:space="preserve">vč. nezpůsobilých nákladů </w:t>
      </w:r>
      <w:r w:rsidR="00E12250">
        <w:t xml:space="preserve">během trvání stavebních prací </w:t>
      </w:r>
      <w:r w:rsidR="005B1D8A">
        <w:t>u zhotovitele</w:t>
      </w:r>
      <w:r w:rsidR="00E86BEB">
        <w:t>:</w:t>
      </w:r>
    </w:p>
    <w:p w:rsidR="00E86BEB" w:rsidRDefault="00E86BEB" w:rsidP="00367FB0">
      <w:pPr>
        <w:contextualSpacing/>
        <w:jc w:val="both"/>
      </w:pPr>
    </w:p>
    <w:tbl>
      <w:tblPr>
        <w:tblW w:w="1021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3260"/>
        <w:gridCol w:w="3402"/>
      </w:tblGrid>
      <w:tr w:rsidR="00E86BEB" w:rsidRPr="00624E9A" w:rsidTr="00567ABE">
        <w:trPr>
          <w:trHeight w:val="49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EB" w:rsidRPr="00624E9A" w:rsidRDefault="00E86BEB" w:rsidP="00E86B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Vysoutěžená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 xml:space="preserve"> cena stavby celkem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EB" w:rsidRPr="00624E9A" w:rsidRDefault="00E86BEB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Konečná  cena stavby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EB" w:rsidRDefault="00E86BEB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Rozdíl</w:t>
            </w:r>
          </w:p>
          <w:p w:rsidR="00E86BEB" w:rsidRPr="00624E9A" w:rsidRDefault="00E86BEB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E86BEB" w:rsidRPr="00624E9A" w:rsidTr="00567ABE">
        <w:trPr>
          <w:trHeight w:val="300"/>
        </w:trPr>
        <w:tc>
          <w:tcPr>
            <w:tcW w:w="3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BEB" w:rsidRPr="00A10B05" w:rsidRDefault="00E86BEB" w:rsidP="00E86B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83.771 tis Kč. </w:t>
            </w:r>
            <w:proofErr w:type="gramStart"/>
            <w:r w:rsidRPr="00A10B05">
              <w:rPr>
                <w:rFonts w:ascii="Calibri" w:eastAsia="Times New Roman" w:hAnsi="Calibri" w:cs="Times New Roman"/>
                <w:lang w:eastAsia="cs-CZ"/>
              </w:rPr>
              <w:t>bez</w:t>
            </w:r>
            <w:proofErr w:type="gramEnd"/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 DPH</w:t>
            </w:r>
          </w:p>
          <w:p w:rsidR="00E86BEB" w:rsidRPr="00624E9A" w:rsidRDefault="00E86BEB" w:rsidP="00E86B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A10B05">
              <w:rPr>
                <w:b/>
              </w:rPr>
              <w:t>91.863 tis. Kč vč. DPH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BEB" w:rsidRPr="00A10B05" w:rsidRDefault="00E86BEB" w:rsidP="00A7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</w:p>
          <w:p w:rsidR="00E86BEB" w:rsidRPr="00A10B05" w:rsidRDefault="00E86BEB" w:rsidP="00A7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A10B05">
              <w:rPr>
                <w:rFonts w:ascii="Calibri" w:eastAsia="Times New Roman" w:hAnsi="Calibri" w:cs="Times New Roman"/>
                <w:lang w:eastAsia="cs-CZ"/>
              </w:rPr>
              <w:t>97.804 tis. Kč bez DPH</w:t>
            </w:r>
          </w:p>
          <w:p w:rsidR="00E86BEB" w:rsidRPr="00A10B05" w:rsidRDefault="00E86BEB" w:rsidP="00A1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A10B05">
              <w:rPr>
                <w:b/>
              </w:rPr>
              <w:t>107.251 tis. Kč vč. DPH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EB" w:rsidRDefault="003738B6" w:rsidP="00A10B0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E86BEB" w:rsidRPr="00A10B05">
              <w:rPr>
                <w:rFonts w:ascii="Calibri" w:eastAsia="Times New Roman" w:hAnsi="Calibri" w:cs="Times New Roman"/>
                <w:lang w:eastAsia="cs-CZ"/>
              </w:rPr>
              <w:t>1</w:t>
            </w:r>
            <w:r w:rsidR="00A10B05">
              <w:rPr>
                <w:rFonts w:ascii="Calibri" w:eastAsia="Times New Roman" w:hAnsi="Calibri" w:cs="Times New Roman"/>
                <w:lang w:eastAsia="cs-CZ"/>
              </w:rPr>
              <w:t>4</w:t>
            </w:r>
            <w:r w:rsidR="00E86BEB" w:rsidRPr="00A10B05">
              <w:rPr>
                <w:rFonts w:ascii="Calibri" w:eastAsia="Times New Roman" w:hAnsi="Calibri" w:cs="Times New Roman"/>
                <w:lang w:eastAsia="cs-CZ"/>
              </w:rPr>
              <w:t>.</w:t>
            </w:r>
            <w:r w:rsidR="00A10B05">
              <w:rPr>
                <w:rFonts w:ascii="Calibri" w:eastAsia="Times New Roman" w:hAnsi="Calibri" w:cs="Times New Roman"/>
                <w:lang w:eastAsia="cs-CZ"/>
              </w:rPr>
              <w:t>033</w:t>
            </w:r>
            <w:r w:rsidR="00E86BEB" w:rsidRPr="00A10B05">
              <w:rPr>
                <w:rFonts w:ascii="Calibri" w:eastAsia="Times New Roman" w:hAnsi="Calibri" w:cs="Times New Roman"/>
                <w:lang w:eastAsia="cs-CZ"/>
              </w:rPr>
              <w:t xml:space="preserve"> tis. Kč</w:t>
            </w:r>
            <w:r w:rsidR="0064475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gramStart"/>
            <w:r w:rsidR="00644752">
              <w:rPr>
                <w:rFonts w:ascii="Calibri" w:eastAsia="Times New Roman" w:hAnsi="Calibri" w:cs="Times New Roman"/>
                <w:lang w:eastAsia="cs-CZ"/>
              </w:rPr>
              <w:t>bez</w:t>
            </w:r>
            <w:proofErr w:type="gramEnd"/>
            <w:r w:rsidR="00E86BEB" w:rsidRPr="00A10B05">
              <w:rPr>
                <w:rFonts w:ascii="Calibri" w:eastAsia="Times New Roman" w:hAnsi="Calibri" w:cs="Times New Roman"/>
                <w:lang w:eastAsia="cs-CZ"/>
              </w:rPr>
              <w:t>. DPH</w:t>
            </w:r>
          </w:p>
          <w:p w:rsidR="00644752" w:rsidRPr="00C24F23" w:rsidRDefault="00644752" w:rsidP="00A10B0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C24F23">
              <w:rPr>
                <w:rFonts w:ascii="Calibri" w:eastAsia="Times New Roman" w:hAnsi="Calibri" w:cs="Times New Roman"/>
                <w:b/>
                <w:lang w:eastAsia="cs-CZ"/>
              </w:rPr>
              <w:t>+15.388 tis. Kč vč. DPH</w:t>
            </w:r>
          </w:p>
        </w:tc>
      </w:tr>
      <w:tr w:rsidR="00E86BEB" w:rsidRPr="00624E9A" w:rsidTr="00567ABE">
        <w:trPr>
          <w:trHeight w:val="334"/>
        </w:trPr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BEB" w:rsidRPr="00624E9A" w:rsidRDefault="00E86BEB" w:rsidP="00A7534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EB" w:rsidRPr="00A10B05" w:rsidRDefault="00E86BEB" w:rsidP="00A7534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EB" w:rsidRPr="00A10B05" w:rsidRDefault="00E86BEB" w:rsidP="00A1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A10B05">
              <w:rPr>
                <w:rFonts w:ascii="Calibri" w:eastAsia="Times New Roman" w:hAnsi="Calibri" w:cs="Times New Roman"/>
                <w:lang w:eastAsia="cs-CZ"/>
              </w:rPr>
              <w:t>+1</w:t>
            </w:r>
            <w:r w:rsidR="00A10B05">
              <w:rPr>
                <w:rFonts w:ascii="Calibri" w:eastAsia="Times New Roman" w:hAnsi="Calibri" w:cs="Times New Roman"/>
                <w:lang w:eastAsia="cs-CZ"/>
              </w:rPr>
              <w:t>6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A10B05">
              <w:rPr>
                <w:rFonts w:ascii="Calibri" w:eastAsia="Times New Roman" w:hAnsi="Calibri" w:cs="Times New Roman"/>
                <w:lang w:eastAsia="cs-CZ"/>
              </w:rPr>
              <w:t>7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 %</w:t>
            </w:r>
          </w:p>
        </w:tc>
      </w:tr>
    </w:tbl>
    <w:p w:rsidR="00EA456A" w:rsidRDefault="00EA456A" w:rsidP="00367FB0">
      <w:pPr>
        <w:contextualSpacing/>
        <w:jc w:val="both"/>
      </w:pPr>
    </w:p>
    <w:p w:rsidR="007F1313" w:rsidRDefault="007F1313" w:rsidP="00367FB0">
      <w:pPr>
        <w:contextualSpacing/>
        <w:jc w:val="both"/>
      </w:pPr>
    </w:p>
    <w:p w:rsidR="007F1313" w:rsidRDefault="007F1313" w:rsidP="00367FB0">
      <w:pPr>
        <w:contextualSpacing/>
        <w:jc w:val="both"/>
      </w:pPr>
      <w:r>
        <w:t>Struktur</w:t>
      </w:r>
      <w:r w:rsidR="00CF1AB2">
        <w:t>ované</w:t>
      </w:r>
      <w:r>
        <w:t xml:space="preserve"> náklad</w:t>
      </w:r>
      <w:r w:rsidR="00CF1AB2">
        <w:t>y v projektové žádosti a aktuálním</w:t>
      </w:r>
      <w:r>
        <w:t xml:space="preserve"> platného rozpočtu projektu, viz:</w:t>
      </w:r>
    </w:p>
    <w:p w:rsidR="00451BBC" w:rsidRDefault="00451BBC" w:rsidP="00367FB0">
      <w:pPr>
        <w:contextualSpacing/>
        <w:jc w:val="both"/>
      </w:pPr>
    </w:p>
    <w:tbl>
      <w:tblPr>
        <w:tblW w:w="1021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4960"/>
        <w:gridCol w:w="1840"/>
        <w:gridCol w:w="2491"/>
      </w:tblGrid>
      <w:tr w:rsidR="00624E9A" w:rsidRPr="00624E9A" w:rsidTr="00567ABE">
        <w:trPr>
          <w:trHeight w:val="49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Kód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Částka celkem</w:t>
            </w:r>
            <w:r w:rsidRPr="00624E9A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br/>
              <w:t>platný rozpočet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Projektová žádost</w:t>
            </w:r>
            <w:r w:rsidRPr="00624E9A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br/>
              <w:t>celkem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Celkové způsobilé výdaje</w:t>
            </w:r>
            <w:r w:rsidR="0040767E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projektu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87 263 156,34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1.1.1.2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Budovy a stavby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81 764 366,82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1.1.1.2.1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Přístavba a stavební úpravy přízemní části objektu 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77 197 375,60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69 219 956,00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1.1.1.2.2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Parkoviště pro modernizovanou část objektu 47</w:t>
            </w:r>
            <w:r w:rsidR="000C559B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-</w:t>
            </w:r>
            <w:r w:rsidR="000C559B">
              <w:rPr>
                <w:rFonts w:ascii="Calibri" w:eastAsia="Times New Roman" w:hAnsi="Calibri" w:cs="Times New Roman"/>
                <w:i/>
                <w:sz w:val="18"/>
                <w:szCs w:val="18"/>
                <w:lang w:eastAsia="cs-CZ"/>
              </w:rPr>
              <w:t>nerealizováno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0,00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7 206 158,00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lastRenderedPageBreak/>
              <w:t>1.1.1.2.3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Úpravy výtahu v objektu 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0,00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1 350 595,00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1.1.1.2.4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Projektová dokumentace a služby spojené s realizací stavby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4 566 991,22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4 695 446,00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1.1.1.4.2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Interiérové vybavení - investiční část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0,00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1 187 683,00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1.1.1.4.3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Aktivní prvky - investiční část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118 391,21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121 714,00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1.1.1.4.4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AV technika - investiční část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0,00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747 268,00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1.1.2.3.2.1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Interiérové vybavení - neinvestiční část (nad 3.000,- Kč/ks)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0,00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6 898 541,00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1.1.2.3.2.2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Aktivní prvky - neinvestiční část (nad 3.000,- Kč/ks)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72 546,67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423 347,00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1.1.2.3.2.3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AV technika - neinvestiční část (nad 3.000,- Kč/ks)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346 518,59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608 893,00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1.1.2.3.3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Materiál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5 499,81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234 094,00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1.1.2.3.3.1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Interiérové vybavení - neinvestiční část (pod 3.000,- Kč/ks)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0,00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194 886,00 Kč</w:t>
            </w:r>
          </w:p>
        </w:tc>
      </w:tr>
      <w:tr w:rsidR="00624E9A" w:rsidRPr="00624E9A" w:rsidTr="00567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1.1.2.3.3.2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a AV technika - </w:t>
            </w:r>
            <w:proofErr w:type="spellStart"/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patch</w:t>
            </w:r>
            <w:proofErr w:type="spellEnd"/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kabely a jiný spojovací materiál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9A" w:rsidRPr="00624E9A" w:rsidRDefault="00624E9A" w:rsidP="00624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5 499,81 Kč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E9A" w:rsidRPr="00624E9A" w:rsidRDefault="00624E9A" w:rsidP="00624E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624E9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39 208,00 Kč</w:t>
            </w:r>
          </w:p>
        </w:tc>
      </w:tr>
    </w:tbl>
    <w:p w:rsidR="00451BBC" w:rsidRDefault="00451BBC" w:rsidP="00367FB0">
      <w:pPr>
        <w:contextualSpacing/>
        <w:jc w:val="both"/>
      </w:pPr>
    </w:p>
    <w:p w:rsidR="00912EF2" w:rsidRDefault="001552FC" w:rsidP="00367FB0">
      <w:pPr>
        <w:contextualSpacing/>
        <w:jc w:val="both"/>
      </w:pPr>
      <w:r>
        <w:t>Seznam dodatků s uvedením cenového dopadu:</w:t>
      </w:r>
    </w:p>
    <w:tbl>
      <w:tblPr>
        <w:tblW w:w="1021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7"/>
        <w:gridCol w:w="2057"/>
        <w:gridCol w:w="1835"/>
        <w:gridCol w:w="4047"/>
      </w:tblGrid>
      <w:tr w:rsidR="001552FC" w:rsidRPr="001552FC" w:rsidTr="00567ABE">
        <w:trPr>
          <w:trHeight w:val="315"/>
        </w:trPr>
        <w:tc>
          <w:tcPr>
            <w:tcW w:w="2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93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Cena Kč bez DPH</w:t>
            </w:r>
          </w:p>
        </w:tc>
      </w:tr>
      <w:tr w:rsidR="001552FC" w:rsidRPr="001552FC" w:rsidTr="00567ABE">
        <w:trPr>
          <w:trHeight w:val="509"/>
        </w:trPr>
        <w:tc>
          <w:tcPr>
            <w:tcW w:w="2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Odpočet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Přípočet</w:t>
            </w: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Rozdíl</w:t>
            </w:r>
          </w:p>
        </w:tc>
      </w:tr>
      <w:tr w:rsidR="001552FC" w:rsidRPr="001552FC" w:rsidTr="00567ABE">
        <w:trPr>
          <w:trHeight w:val="509"/>
        </w:trPr>
        <w:tc>
          <w:tcPr>
            <w:tcW w:w="2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567A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č.1 (bez</w:t>
            </w:r>
            <w:proofErr w:type="gramEnd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567AB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TLZ</w:t>
            </w: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č.2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-74 459,64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226 755,47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152 295,83</w:t>
            </w: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č.3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-388 525,17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468 141,25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79 616,08</w:t>
            </w: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č.4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-80 816,97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640 543,92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559 726,95</w:t>
            </w: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č.5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-487 862,08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6 873 100,41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6 385 238,33</w:t>
            </w: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č.6</w:t>
            </w:r>
            <w:proofErr w:type="gramEnd"/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-9 763 610,33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11 144 841,59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1 381 231,26</w:t>
            </w: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č.7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-1 522 383,63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2 880 574,56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1 358 190,93</w:t>
            </w: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č.8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-2 606 191,99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3 040 881,66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434 689,67</w:t>
            </w:r>
          </w:p>
        </w:tc>
      </w:tr>
      <w:tr w:rsidR="001552FC" w:rsidRPr="001552FC" w:rsidTr="00567ABE">
        <w:trPr>
          <w:trHeight w:val="300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č.9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-763 465,86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2 213 869,43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1 450 403,57</w:t>
            </w:r>
          </w:p>
        </w:tc>
      </w:tr>
      <w:tr w:rsidR="001552FC" w:rsidRPr="001552FC" w:rsidTr="00567ABE">
        <w:trPr>
          <w:trHeight w:val="315"/>
        </w:trPr>
        <w:tc>
          <w:tcPr>
            <w:tcW w:w="22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Dodatek </w:t>
            </w: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č.10</w:t>
            </w:r>
            <w:proofErr w:type="gramEnd"/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-809 775,54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3 041 992,01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2 232 216,47</w:t>
            </w:r>
          </w:p>
        </w:tc>
      </w:tr>
      <w:tr w:rsidR="001552FC" w:rsidRPr="001552FC" w:rsidTr="00567ABE">
        <w:trPr>
          <w:trHeight w:val="315"/>
        </w:trPr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-         16 497 091,21 Kč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     30 530 700,30 Kč </w:t>
            </w:r>
          </w:p>
        </w:tc>
        <w:tc>
          <w:tcPr>
            <w:tcW w:w="4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                                       14 033 609,09 Kč </w:t>
            </w:r>
          </w:p>
        </w:tc>
      </w:tr>
    </w:tbl>
    <w:p w:rsidR="001552FC" w:rsidRDefault="001552FC" w:rsidP="00367FB0">
      <w:pPr>
        <w:contextualSpacing/>
        <w:jc w:val="both"/>
      </w:pPr>
    </w:p>
    <w:p w:rsidR="00140546" w:rsidRDefault="001552FC" w:rsidP="00367FB0">
      <w:pPr>
        <w:contextualSpacing/>
        <w:jc w:val="both"/>
      </w:pPr>
      <w:r>
        <w:t xml:space="preserve">Rozdělení na jednotlivé </w:t>
      </w:r>
      <w:r w:rsidR="00140546">
        <w:t xml:space="preserve">části stavby dle smlouvy o </w:t>
      </w:r>
      <w:proofErr w:type="gramStart"/>
      <w:r w:rsidR="00140546">
        <w:t>dílo</w:t>
      </w:r>
      <w:proofErr w:type="gramEnd"/>
      <w:r w:rsidR="00140546">
        <w:t xml:space="preserve"> –</w:t>
      </w:r>
      <w:proofErr w:type="gramStart"/>
      <w:r w:rsidR="00B74AFC">
        <w:t>uváděno</w:t>
      </w:r>
      <w:proofErr w:type="gramEnd"/>
      <w:r w:rsidR="00B74AFC">
        <w:t xml:space="preserve"> dle smlouvy </w:t>
      </w:r>
      <w:r w:rsidR="00C127E2">
        <w:t xml:space="preserve">v Kč </w:t>
      </w:r>
      <w:r w:rsidR="00140546">
        <w:t>bez DPH:</w:t>
      </w:r>
    </w:p>
    <w:tbl>
      <w:tblPr>
        <w:tblW w:w="1025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275"/>
        <w:gridCol w:w="1134"/>
        <w:gridCol w:w="1276"/>
        <w:gridCol w:w="1276"/>
        <w:gridCol w:w="1134"/>
        <w:gridCol w:w="992"/>
        <w:gridCol w:w="1041"/>
      </w:tblGrid>
      <w:tr w:rsidR="001552FC" w:rsidRPr="001552FC" w:rsidTr="00ED46A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b/>
                <w:bCs/>
                <w:color w:val="000000"/>
                <w:sz w:val="18"/>
                <w:szCs w:val="18"/>
                <w:lang w:eastAsia="cs-CZ"/>
              </w:rPr>
              <w:t>Stavba 1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b/>
                <w:bCs/>
                <w:color w:val="000000"/>
                <w:sz w:val="18"/>
                <w:szCs w:val="18"/>
                <w:lang w:eastAsia="cs-CZ"/>
              </w:rPr>
              <w:t>Stavba 2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b/>
                <w:bCs/>
                <w:color w:val="000000"/>
                <w:sz w:val="18"/>
                <w:szCs w:val="18"/>
                <w:lang w:eastAsia="cs-CZ"/>
              </w:rPr>
              <w:t>Stavba 3</w:t>
            </w:r>
          </w:p>
        </w:tc>
      </w:tr>
      <w:tr w:rsidR="001552FC" w:rsidRPr="001552FC" w:rsidTr="00ED46A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i/>
                <w:iCs/>
                <w:color w:val="000000"/>
                <w:sz w:val="18"/>
                <w:szCs w:val="18"/>
                <w:lang w:eastAsia="cs-CZ"/>
              </w:rPr>
              <w:t>(prostředky dotace)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i/>
                <w:iCs/>
                <w:color w:val="000000"/>
                <w:sz w:val="18"/>
                <w:szCs w:val="18"/>
                <w:lang w:eastAsia="cs-CZ"/>
              </w:rPr>
              <w:t>(vlastní prostředky)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CE6F1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i/>
                <w:iCs/>
                <w:color w:val="000000"/>
                <w:sz w:val="18"/>
                <w:szCs w:val="18"/>
                <w:lang w:eastAsia="cs-CZ"/>
              </w:rPr>
              <w:t>(vlastní prostředky)</w:t>
            </w:r>
          </w:p>
        </w:tc>
        <w:tc>
          <w:tcPr>
            <w:tcW w:w="203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8E4BC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i/>
                <w:iCs/>
                <w:color w:val="000000"/>
                <w:sz w:val="18"/>
                <w:szCs w:val="18"/>
                <w:lang w:eastAsia="cs-CZ"/>
              </w:rPr>
              <w:t>(vlastní prostředky)</w:t>
            </w:r>
          </w:p>
        </w:tc>
      </w:tr>
      <w:tr w:rsidR="001552FC" w:rsidRPr="001552FC" w:rsidTr="00C127E2">
        <w:trPr>
          <w:trHeight w:val="33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3929F5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Dodatek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Odpočet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Přípočet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Odpočet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Přípočet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CE6F1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Odpočet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Přípočet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E4BC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Odpočet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E4BC"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cs-CZ"/>
              </w:rPr>
              <w:t>Přípočet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6A9" w:rsidRDefault="00ED46A9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1 </w:t>
            </w:r>
          </w:p>
          <w:p w:rsidR="001552FC" w:rsidRPr="001552FC" w:rsidRDefault="00ED46A9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(bez změn</w:t>
            </w:r>
            <w:r w:rsidR="001552FC"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ED46A9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-74 459,64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175 539,62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51 215,85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D700AA">
            <w:pPr>
              <w:spacing w:after="0" w:line="240" w:lineRule="auto"/>
              <w:ind w:right="-495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-382 886,06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363 242,78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-5 639,11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104 898,47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-80 816,97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625 989,10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14 554,82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-445 640,67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6 701 701,86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-42 221,41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171 398,55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C12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-9 574 47,17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9 794 253,87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895 206,28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-188 863,16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406 948,00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48 433,44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0A1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C127E2" w:rsidP="00C12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-1 441</w:t>
            </w:r>
            <w:r w:rsidR="001552FC"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036,35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2 823 498,24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-81 347,28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57 076,32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C127E2" w:rsidP="00C12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-2 368</w:t>
            </w:r>
            <w:r w:rsidR="001552FC"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480,95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2 050 995,61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747160,05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-237 711,04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53 478,40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189 247,60</w:t>
            </w:r>
          </w:p>
        </w:tc>
      </w:tr>
      <w:tr w:rsidR="003929F5" w:rsidRPr="001552FC" w:rsidTr="00C127E2">
        <w:trPr>
          <w:trHeight w:val="3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č.</w:t>
            </w:r>
            <w:r w:rsidR="000A10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-763 465,86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2213869,43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929F5" w:rsidRPr="001552FC" w:rsidTr="00C127E2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č.10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-486 347,92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3041992,01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C127E2" w:rsidP="00C12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-323</w:t>
            </w:r>
            <w:r w:rsidR="001552FC"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427,62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929F5" w:rsidRPr="001552FC" w:rsidTr="00C127E2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C127E2" w:rsidP="00C12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14</w:t>
            </w:r>
            <w:r w:rsidRPr="00C127E2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368</w:t>
            </w:r>
            <w:r w:rsidR="001552FC" w:rsidRPr="001552FC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067,81</w:t>
            </w:r>
            <w:r w:rsidR="001552FC"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22 535 221,08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3929F5" w:rsidP="001552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-1 249 813,78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6 898 227,77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-555 782,00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859 570,41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C127E2" w:rsidP="00C12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-323</w:t>
            </w:r>
            <w:r w:rsidR="001552FC"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427,62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1552FC" w:rsidRPr="001552FC" w:rsidRDefault="001552FC" w:rsidP="001552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552F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237 681,04</w:t>
            </w:r>
          </w:p>
        </w:tc>
      </w:tr>
    </w:tbl>
    <w:p w:rsidR="001552FC" w:rsidRDefault="001552FC" w:rsidP="00367FB0">
      <w:pPr>
        <w:contextualSpacing/>
        <w:jc w:val="both"/>
      </w:pPr>
    </w:p>
    <w:p w:rsidR="005D38BB" w:rsidRDefault="005D38BB" w:rsidP="005D38BB">
      <w:pPr>
        <w:contextualSpacing/>
        <w:jc w:val="both"/>
      </w:pPr>
      <w:r w:rsidRPr="005E6DDE">
        <w:t xml:space="preserve">Nejvýznačnější </w:t>
      </w:r>
      <w:r>
        <w:t xml:space="preserve">změny se týkaly zejména statiky objektu, a to už v samotném zakládání jižní přístavby, ve vrstvách ploch atria, ztužení výškové budovy. Dále se majoritní vícenáklady vztahují k úpravám povrchům (vyrovnání konstrukcí), doplnění chybějícího </w:t>
      </w:r>
      <w:proofErr w:type="spellStart"/>
      <w:r>
        <w:t>nacenění</w:t>
      </w:r>
      <w:proofErr w:type="spellEnd"/>
      <w:r>
        <w:t xml:space="preserve"> nebo dílčích výměr ve </w:t>
      </w:r>
      <w:proofErr w:type="spellStart"/>
      <w:r>
        <w:t>vysoutěžené</w:t>
      </w:r>
      <w:proofErr w:type="spellEnd"/>
      <w:r>
        <w:t xml:space="preserve"> ceně u zhotovitele (např. chybějící cenovka u umyvadel), a dále původně neplánované zásahy do místnosti č. 1.09, kde se řešila jak statika příčné stěny, tak řešení instalačního kanálu, vyrovnání povrchů s ostatní stavbou, obnova PVC podlahy a výměna dožilého </w:t>
      </w:r>
      <w:proofErr w:type="gramStart"/>
      <w:r>
        <w:t>topení</w:t>
      </w:r>
      <w:proofErr w:type="gramEnd"/>
      <w:r>
        <w:t xml:space="preserve"> –</w:t>
      </w:r>
      <w:proofErr w:type="gramStart"/>
      <w:r>
        <w:t>vše</w:t>
      </w:r>
      <w:proofErr w:type="gramEnd"/>
      <w:r>
        <w:t xml:space="preserve"> nutné z povahy funkčního sjednocení a omezení rizika nesystémových oprav, příp. havárie v blízké době. Větší investiční částky si vyžádaly rovněž konstrukční úpravy nových vstupů při zpracování dílenských a výrobních dokumentací konstrukce prosklených stěn -řešení jejich požárního otevírání, systému stínění, a celkové dořešení ambulantních zásahů v konstrukci auly, kde se z fasády původně uvažovalo řešit případně pouze nesystémovou výměnu nových únikových dveří v rámci původní sklo-plastové stěny; dále byli stavaři nuceni doplnit legislativně chybějící střešní záchytný systém na střechách, po zatečení do již hotových stěn a podhledů v aule bylo rozhodnuto o opravnou sanaci střešního pláště vč. oplechování, o opravě hromosvodu dle aktuálních norem, o </w:t>
      </w:r>
      <w:proofErr w:type="spellStart"/>
      <w:r>
        <w:t>dozateplení</w:t>
      </w:r>
      <w:proofErr w:type="spellEnd"/>
      <w:r>
        <w:t xml:space="preserve"> soklu v aule.</w:t>
      </w:r>
    </w:p>
    <w:p w:rsidR="005D38BB" w:rsidRDefault="005D38BB" w:rsidP="005D38BB">
      <w:pPr>
        <w:contextualSpacing/>
        <w:jc w:val="both"/>
      </w:pPr>
    </w:p>
    <w:p w:rsidR="005D38BB" w:rsidRPr="00483176" w:rsidRDefault="005D38BB" w:rsidP="005D38BB">
      <w:pPr>
        <w:contextualSpacing/>
        <w:jc w:val="both"/>
      </w:pPr>
      <w:r>
        <w:t xml:space="preserve">Vyjma prosklené stěny v aule by změny samy o sobě bylo možno hradit z dotace, pokud by je bylo možné krýt z rozdílu </w:t>
      </w:r>
      <w:proofErr w:type="spellStart"/>
      <w:r>
        <w:t>vysoutěžené</w:t>
      </w:r>
      <w:proofErr w:type="spellEnd"/>
      <w:r>
        <w:t xml:space="preserve"> ceny. Úspory byly průběžně řešeny tam, kde to bylo možné (např. změna sanitárních příček a baterií á -284 tis. Kč</w:t>
      </w:r>
      <w:r w:rsidR="00074C1C">
        <w:t xml:space="preserve"> bez DPH</w:t>
      </w:r>
      <w:r>
        <w:t>, záměna ocelových konstrukcí atiky a obkladů á -450 tis. Kč</w:t>
      </w:r>
      <w:r w:rsidR="00074C1C">
        <w:t xml:space="preserve"> bez DPH</w:t>
      </w:r>
      <w:r>
        <w:t>, změna terasových prken á -152 tis. Kč</w:t>
      </w:r>
      <w:r w:rsidR="00074C1C">
        <w:t xml:space="preserve"> bez DPH</w:t>
      </w:r>
      <w:r>
        <w:t>).</w:t>
      </w:r>
    </w:p>
    <w:p w:rsidR="005D38BB" w:rsidRDefault="005D38BB" w:rsidP="00367FB0">
      <w:pPr>
        <w:contextualSpacing/>
        <w:jc w:val="both"/>
      </w:pPr>
    </w:p>
    <w:p w:rsidR="00140546" w:rsidRDefault="00140546" w:rsidP="00140546">
      <w:pPr>
        <w:contextualSpacing/>
        <w:jc w:val="both"/>
      </w:pPr>
      <w:r>
        <w:t>Vývoj ceny na jednotlivé dodatky ke smlouvě o dílo bez DPH:</w:t>
      </w:r>
    </w:p>
    <w:tbl>
      <w:tblPr>
        <w:tblW w:w="1021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"/>
        <w:gridCol w:w="3260"/>
        <w:gridCol w:w="5953"/>
      </w:tblGrid>
      <w:tr w:rsidR="00BE245E" w:rsidRPr="00624E9A" w:rsidTr="00BE245E">
        <w:trPr>
          <w:trHeight w:val="57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546" w:rsidRPr="00624E9A" w:rsidRDefault="00140546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 xml:space="preserve">Dodatek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46" w:rsidRDefault="00140546" w:rsidP="001405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</w:p>
          <w:p w:rsidR="00140546" w:rsidRPr="00624E9A" w:rsidRDefault="00140546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Rozdíl  ceny stavby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46" w:rsidRDefault="00140546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</w:p>
          <w:p w:rsidR="00140546" w:rsidRDefault="00140546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Nejzásadněj</w:t>
            </w:r>
            <w:r w:rsidR="00B74AFC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š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í vícepráce</w:t>
            </w:r>
          </w:p>
          <w:p w:rsidR="00140546" w:rsidRPr="00624E9A" w:rsidRDefault="00140546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0A10FA" w:rsidRPr="00624E9A" w:rsidTr="00BE245E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0FA" w:rsidRPr="00A10B05" w:rsidRDefault="000A10FA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Pr="00A10B05" w:rsidRDefault="00AE2E4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644752" w:rsidP="00A7534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-</w:t>
            </w:r>
          </w:p>
        </w:tc>
      </w:tr>
      <w:tr w:rsidR="000A10FA" w:rsidRPr="00624E9A" w:rsidTr="00BE245E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0FA" w:rsidRPr="00A10B05" w:rsidRDefault="000A10FA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Pr="00A10B05" w:rsidRDefault="00AE2E4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152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BE245E" w:rsidP="00A7534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-</w:t>
            </w:r>
          </w:p>
        </w:tc>
      </w:tr>
      <w:tr w:rsidR="000A10FA" w:rsidRPr="00624E9A" w:rsidTr="00BE245E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0FA" w:rsidRPr="00A10B05" w:rsidRDefault="000A10FA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Pr="00A10B05" w:rsidRDefault="00AE2E4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79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BE245E" w:rsidP="00A7534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-</w:t>
            </w:r>
          </w:p>
        </w:tc>
      </w:tr>
      <w:tr w:rsidR="000A10FA" w:rsidRPr="00624E9A" w:rsidTr="00BE245E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0FA" w:rsidRPr="00A10B05" w:rsidRDefault="000A10FA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Pr="00A10B05" w:rsidRDefault="0064475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559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Pr="00C127E2" w:rsidRDefault="00BE245E" w:rsidP="00BE245E">
            <w:pPr>
              <w:contextualSpacing/>
              <w:jc w:val="both"/>
            </w:pPr>
            <w:r w:rsidRPr="00C127E2">
              <w:t>TLZ 10 Výměna podloží u přístavby:                               551 tis. Kč</w:t>
            </w:r>
          </w:p>
        </w:tc>
      </w:tr>
      <w:tr w:rsidR="00444522" w:rsidRPr="00624E9A" w:rsidTr="00BE245E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522" w:rsidRPr="00A10B05" w:rsidRDefault="00444522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A10B05" w:rsidRDefault="0064475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6.385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C127E2" w:rsidRDefault="00BE245E" w:rsidP="00BE245E">
            <w:pPr>
              <w:contextualSpacing/>
              <w:jc w:val="both"/>
            </w:pPr>
            <w:r w:rsidRPr="00C127E2">
              <w:rPr>
                <w:rFonts w:ascii="Calibri" w:eastAsia="Times New Roman" w:hAnsi="Calibri" w:cs="Times New Roman"/>
                <w:lang w:eastAsia="cs-CZ"/>
              </w:rPr>
              <w:t xml:space="preserve">TLZ 14 </w:t>
            </w:r>
            <w:r w:rsidRPr="00C127E2">
              <w:t>Statické zajištění jižní části:</w:t>
            </w:r>
            <w:r w:rsidRPr="00C127E2">
              <w:tab/>
              <w:t xml:space="preserve">                    6.219 tis. Kč</w:t>
            </w:r>
          </w:p>
        </w:tc>
      </w:tr>
      <w:tr w:rsidR="00444522" w:rsidRPr="00624E9A" w:rsidTr="009A0CDB">
        <w:trPr>
          <w:trHeight w:val="5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522" w:rsidRPr="00A10B05" w:rsidRDefault="00444522" w:rsidP="009A0C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A10B05" w:rsidRDefault="0064475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1.381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5E" w:rsidRPr="00C127E2" w:rsidRDefault="00BE245E" w:rsidP="00BE245E">
            <w:pPr>
              <w:contextualSpacing/>
              <w:jc w:val="both"/>
            </w:pPr>
            <w:r w:rsidRPr="00C127E2">
              <w:t>TLZ 17 Úpravy prosklené stěny v aule:</w:t>
            </w:r>
            <w:r w:rsidRPr="00C127E2">
              <w:tab/>
              <w:t xml:space="preserve">                       895 tis. Kč</w:t>
            </w:r>
          </w:p>
          <w:p w:rsidR="00BE245E" w:rsidRPr="00C127E2" w:rsidRDefault="00BE245E" w:rsidP="00BE245E">
            <w:pPr>
              <w:contextualSpacing/>
              <w:jc w:val="both"/>
            </w:pPr>
            <w:r w:rsidRPr="00C127E2">
              <w:t>TLZ 20 Úprava podlah:</w:t>
            </w:r>
            <w:r w:rsidRPr="00C127E2">
              <w:tab/>
            </w:r>
            <w:r w:rsidRPr="00C127E2">
              <w:tab/>
            </w:r>
            <w:r w:rsidRPr="00C127E2">
              <w:tab/>
              <w:t xml:space="preserve">                       353 tis. Kč</w:t>
            </w:r>
          </w:p>
          <w:p w:rsidR="00BE245E" w:rsidRPr="00C127E2" w:rsidRDefault="00BE245E" w:rsidP="00BE245E">
            <w:pPr>
              <w:spacing w:after="0" w:line="240" w:lineRule="auto"/>
            </w:pPr>
            <w:r w:rsidRPr="00C127E2">
              <w:rPr>
                <w:rFonts w:ascii="Calibri" w:eastAsia="Times New Roman" w:hAnsi="Calibri" w:cs="Times New Roman"/>
                <w:lang w:eastAsia="cs-CZ"/>
              </w:rPr>
              <w:t xml:space="preserve">TLZ 25b </w:t>
            </w:r>
            <w:r w:rsidRPr="00C127E2">
              <w:t xml:space="preserve">Doplnění rezonátorů </w:t>
            </w:r>
            <w:proofErr w:type="gramStart"/>
            <w:r w:rsidRPr="00C127E2">
              <w:t>nad</w:t>
            </w:r>
            <w:proofErr w:type="gramEnd"/>
            <w:r w:rsidRPr="00C127E2">
              <w:t xml:space="preserve"> </w:t>
            </w:r>
          </w:p>
          <w:p w:rsidR="00444522" w:rsidRPr="00C127E2" w:rsidRDefault="00BE245E" w:rsidP="00BE245E">
            <w:pPr>
              <w:spacing w:after="0" w:line="240" w:lineRule="auto"/>
            </w:pPr>
            <w:r w:rsidRPr="00C127E2">
              <w:t>podhledem v aule:                                                            279 tis. Kč</w:t>
            </w:r>
          </w:p>
          <w:p w:rsidR="00BE245E" w:rsidRPr="00C127E2" w:rsidRDefault="00BE245E" w:rsidP="00BE245E">
            <w:pPr>
              <w:contextualSpacing/>
              <w:jc w:val="both"/>
            </w:pPr>
            <w:r w:rsidRPr="00C127E2">
              <w:t>TLZ 27a Doplnění chybějících umyvadel:                      299 tis. Kč</w:t>
            </w:r>
          </w:p>
          <w:p w:rsidR="00BE245E" w:rsidRPr="00C127E2" w:rsidRDefault="00FC0102" w:rsidP="009A0CDB">
            <w:pPr>
              <w:contextualSpacing/>
              <w:jc w:val="both"/>
            </w:pPr>
            <w:r w:rsidRPr="00C127E2">
              <w:rPr>
                <w:rFonts w:ascii="Calibri" w:eastAsia="Times New Roman" w:hAnsi="Calibri" w:cs="Times New Roman"/>
                <w:lang w:eastAsia="cs-CZ"/>
              </w:rPr>
              <w:t xml:space="preserve">TLZ 30 </w:t>
            </w:r>
            <w:r w:rsidRPr="00C127E2">
              <w:t>Záchytný systém na střeše:</w:t>
            </w:r>
            <w:r w:rsidRPr="00C127E2">
              <w:tab/>
              <w:t xml:space="preserve">      </w:t>
            </w:r>
            <w:r w:rsidRPr="00C127E2">
              <w:tab/>
              <w:t xml:space="preserve">        196 tis. Kč</w:t>
            </w:r>
          </w:p>
        </w:tc>
      </w:tr>
      <w:tr w:rsidR="00444522" w:rsidRPr="00624E9A" w:rsidTr="00B72367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522" w:rsidRPr="00A10B05" w:rsidRDefault="00444522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A10B05" w:rsidRDefault="0064475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1.358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C127E2" w:rsidRDefault="00293EA5" w:rsidP="00293EA5">
            <w:pPr>
              <w:spacing w:after="0" w:line="240" w:lineRule="auto"/>
            </w:pPr>
            <w:r w:rsidRPr="00C127E2">
              <w:rPr>
                <w:rFonts w:ascii="Calibri" w:eastAsia="Times New Roman" w:hAnsi="Calibri" w:cs="Times New Roman"/>
                <w:lang w:eastAsia="cs-CZ"/>
              </w:rPr>
              <w:t xml:space="preserve">TLZ 32 </w:t>
            </w:r>
            <w:r w:rsidRPr="00C127E2">
              <w:t>Úprava vstupů jižní přístavby:</w:t>
            </w:r>
            <w:r w:rsidRPr="00C127E2">
              <w:tab/>
              <w:t xml:space="preserve">   </w:t>
            </w:r>
            <w:r w:rsidRPr="00C127E2">
              <w:tab/>
              <w:t xml:space="preserve">        304 tis. Kč</w:t>
            </w:r>
          </w:p>
          <w:p w:rsidR="00131D0B" w:rsidRPr="00C127E2" w:rsidRDefault="00131D0B" w:rsidP="00B7236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127E2">
              <w:t xml:space="preserve">TLZ 35 </w:t>
            </w:r>
            <w:r w:rsidR="00B72367" w:rsidRPr="00C127E2">
              <w:t>Stavební úpravy pro montáž travertinu:</w:t>
            </w:r>
            <w:r w:rsidR="00B72367" w:rsidRPr="00C127E2">
              <w:tab/>
              <w:t xml:space="preserve">        588 tis. Kč</w:t>
            </w:r>
          </w:p>
        </w:tc>
      </w:tr>
      <w:tr w:rsidR="00444522" w:rsidRPr="00624E9A" w:rsidTr="00BE245E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522" w:rsidRPr="00A10B05" w:rsidRDefault="00444522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A10B05" w:rsidRDefault="0064475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434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C127E2" w:rsidRDefault="00B72367" w:rsidP="00A7534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127E2">
              <w:rPr>
                <w:rFonts w:ascii="Calibri" w:eastAsia="Times New Roman" w:hAnsi="Calibri" w:cs="Times New Roman"/>
                <w:lang w:eastAsia="cs-CZ"/>
              </w:rPr>
              <w:t xml:space="preserve">TLZ 49 </w:t>
            </w:r>
            <w:r w:rsidRPr="00C127E2">
              <w:t>Zimní opatření:</w:t>
            </w:r>
            <w:r w:rsidRPr="00C127E2">
              <w:tab/>
            </w:r>
            <w:r w:rsidRPr="00C127E2">
              <w:tab/>
            </w:r>
            <w:r w:rsidRPr="00C127E2">
              <w:tab/>
            </w:r>
            <w:r w:rsidRPr="00C127E2">
              <w:tab/>
              <w:t xml:space="preserve">        747 tis. Kč</w:t>
            </w:r>
          </w:p>
        </w:tc>
      </w:tr>
      <w:tr w:rsidR="00444522" w:rsidRPr="00624E9A" w:rsidTr="00BE245E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522" w:rsidRPr="00A10B05" w:rsidRDefault="00444522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č.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A10B05" w:rsidRDefault="0064475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1.450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C127E2" w:rsidRDefault="00B72367" w:rsidP="0012746C">
            <w:pPr>
              <w:contextualSpacing/>
              <w:jc w:val="both"/>
            </w:pPr>
            <w:r w:rsidRPr="00C127E2">
              <w:rPr>
                <w:rFonts w:ascii="Calibri" w:eastAsia="Times New Roman" w:hAnsi="Calibri" w:cs="Times New Roman"/>
                <w:lang w:eastAsia="cs-CZ"/>
              </w:rPr>
              <w:t xml:space="preserve">TLZ 62 </w:t>
            </w:r>
            <w:r w:rsidRPr="00C127E2">
              <w:t>Úprava podloží, drenáže, záhony, plastika:     421 tis. Kč</w:t>
            </w:r>
          </w:p>
        </w:tc>
      </w:tr>
      <w:tr w:rsidR="00444522" w:rsidRPr="00624E9A" w:rsidTr="00BE245E">
        <w:trPr>
          <w:trHeight w:val="8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522" w:rsidRPr="00A10B05" w:rsidRDefault="00444522" w:rsidP="00AE2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proofErr w:type="gramStart"/>
            <w:r>
              <w:rPr>
                <w:rFonts w:ascii="Calibri" w:eastAsia="Times New Roman" w:hAnsi="Calibri" w:cs="Times New Roman"/>
                <w:lang w:eastAsia="cs-CZ"/>
              </w:rPr>
              <w:t>č.10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A10B05" w:rsidRDefault="00644752" w:rsidP="00B72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</w:t>
            </w:r>
            <w:r w:rsidR="00B7236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2.232 tis. Kč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22" w:rsidRPr="00C127E2" w:rsidRDefault="0012746C" w:rsidP="0012746C">
            <w:pPr>
              <w:spacing w:after="0" w:line="240" w:lineRule="auto"/>
            </w:pPr>
            <w:r w:rsidRPr="00C127E2">
              <w:rPr>
                <w:rFonts w:ascii="Calibri" w:eastAsia="Times New Roman" w:hAnsi="Calibri" w:cs="Times New Roman"/>
                <w:lang w:eastAsia="cs-CZ"/>
              </w:rPr>
              <w:t xml:space="preserve">TLZ 63 </w:t>
            </w:r>
            <w:r w:rsidRPr="00C127E2">
              <w:t xml:space="preserve">Doplnění povrchů aula, </w:t>
            </w:r>
            <w:proofErr w:type="spellStart"/>
            <w:proofErr w:type="gramStart"/>
            <w:r w:rsidRPr="00C127E2">
              <w:t>únik</w:t>
            </w:r>
            <w:proofErr w:type="gramEnd"/>
            <w:r w:rsidRPr="00C127E2">
              <w:t>.</w:t>
            </w:r>
            <w:proofErr w:type="gramStart"/>
            <w:r w:rsidRPr="00C127E2">
              <w:t>svítidla</w:t>
            </w:r>
            <w:proofErr w:type="spellEnd"/>
            <w:proofErr w:type="gramEnd"/>
            <w:r w:rsidRPr="00C127E2">
              <w:t xml:space="preserve">, </w:t>
            </w:r>
            <w:proofErr w:type="spellStart"/>
            <w:r w:rsidRPr="00C127E2">
              <w:t>odkap</w:t>
            </w:r>
            <w:proofErr w:type="spellEnd"/>
            <w:r w:rsidRPr="00C127E2">
              <w:t>.:  556 tis. Kč</w:t>
            </w:r>
          </w:p>
          <w:p w:rsidR="0012746C" w:rsidRPr="00C127E2" w:rsidRDefault="0012746C" w:rsidP="0012746C">
            <w:pPr>
              <w:contextualSpacing/>
              <w:jc w:val="both"/>
            </w:pPr>
            <w:r w:rsidRPr="00C127E2">
              <w:t xml:space="preserve">TLZ 71 Stavební úpravy </w:t>
            </w:r>
            <w:proofErr w:type="spellStart"/>
            <w:proofErr w:type="gramStart"/>
            <w:r w:rsidRPr="00C127E2">
              <w:t>č.m</w:t>
            </w:r>
            <w:proofErr w:type="spellEnd"/>
            <w:r w:rsidRPr="00C127E2">
              <w:t>.</w:t>
            </w:r>
            <w:proofErr w:type="gramEnd"/>
            <w:r w:rsidRPr="00C127E2">
              <w:t xml:space="preserve"> 1.09 a 1.10:       </w:t>
            </w:r>
            <w:r w:rsidRPr="00C127E2">
              <w:tab/>
              <w:t xml:space="preserve">         525 tis. Kč</w:t>
            </w:r>
          </w:p>
          <w:p w:rsidR="0012746C" w:rsidRPr="00C127E2" w:rsidRDefault="0012746C" w:rsidP="0012746C">
            <w:pPr>
              <w:spacing w:after="0" w:line="240" w:lineRule="auto"/>
            </w:pPr>
            <w:r w:rsidRPr="00C127E2">
              <w:rPr>
                <w:rFonts w:ascii="Calibri" w:eastAsia="Times New Roman" w:hAnsi="Calibri" w:cs="Times New Roman"/>
                <w:lang w:eastAsia="cs-CZ"/>
              </w:rPr>
              <w:t xml:space="preserve">TLZ 74 </w:t>
            </w:r>
            <w:r w:rsidRPr="00C127E2">
              <w:t>Oprava střešního pláště v aule:</w:t>
            </w:r>
            <w:r w:rsidRPr="00C127E2">
              <w:tab/>
              <w:t xml:space="preserve">     </w:t>
            </w:r>
            <w:r w:rsidRPr="00C127E2">
              <w:tab/>
              <w:t xml:space="preserve">         327 tis. Kč</w:t>
            </w:r>
          </w:p>
          <w:p w:rsidR="0012746C" w:rsidRPr="00C127E2" w:rsidRDefault="0012746C" w:rsidP="0012746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127E2">
              <w:lastRenderedPageBreak/>
              <w:t>TLZ 77 Zakrytování VZT a obslužné lávky:</w:t>
            </w:r>
            <w:r w:rsidRPr="00C127E2">
              <w:tab/>
              <w:t xml:space="preserve">         537 tis. Kč</w:t>
            </w:r>
          </w:p>
        </w:tc>
      </w:tr>
    </w:tbl>
    <w:p w:rsidR="00140546" w:rsidRDefault="00140546" w:rsidP="00367FB0">
      <w:pPr>
        <w:contextualSpacing/>
        <w:jc w:val="both"/>
      </w:pPr>
    </w:p>
    <w:tbl>
      <w:tblPr>
        <w:tblW w:w="1021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8"/>
        <w:gridCol w:w="5953"/>
      </w:tblGrid>
      <w:tr w:rsidR="00644752" w:rsidRPr="00624E9A" w:rsidTr="00BE245E">
        <w:trPr>
          <w:trHeight w:val="473"/>
        </w:trPr>
        <w:tc>
          <w:tcPr>
            <w:tcW w:w="10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52" w:rsidRDefault="00644752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</w:p>
          <w:p w:rsidR="00644752" w:rsidRPr="00624E9A" w:rsidRDefault="00644752" w:rsidP="00A753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Dodatky celkem rozdíl  ceny stavby</w:t>
            </w:r>
            <w:r w:rsidR="00C24F2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 xml:space="preserve"> -rekapitulace</w:t>
            </w:r>
          </w:p>
          <w:p w:rsidR="00644752" w:rsidRPr="00624E9A" w:rsidRDefault="00644752" w:rsidP="006447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644752" w:rsidRPr="00624E9A" w:rsidTr="00BE245E">
        <w:trPr>
          <w:trHeight w:val="8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752" w:rsidRPr="00A10B05" w:rsidRDefault="00644752" w:rsidP="00C24F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+14.033 tis. Kč</w:t>
            </w:r>
            <w:r w:rsidRPr="00A10B05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bez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52" w:rsidRDefault="00C24F23" w:rsidP="00C24F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C24F23">
              <w:rPr>
                <w:rFonts w:ascii="Calibri" w:eastAsia="Times New Roman" w:hAnsi="Calibri" w:cs="Times New Roman"/>
                <w:b/>
                <w:lang w:eastAsia="cs-CZ"/>
              </w:rPr>
              <w:t>15.388 tis. Kč vč. DPH</w:t>
            </w:r>
          </w:p>
        </w:tc>
      </w:tr>
    </w:tbl>
    <w:p w:rsidR="00140546" w:rsidRDefault="00140546" w:rsidP="00367FB0">
      <w:pPr>
        <w:contextualSpacing/>
        <w:jc w:val="both"/>
      </w:pPr>
    </w:p>
    <w:p w:rsidR="004C6856" w:rsidRDefault="006F08BE" w:rsidP="00367FB0">
      <w:pPr>
        <w:contextualSpacing/>
        <w:jc w:val="both"/>
      </w:pPr>
      <w:r>
        <w:t xml:space="preserve">Za služby </w:t>
      </w:r>
      <w:proofErr w:type="gramStart"/>
      <w:r>
        <w:t>spjaté s stavebními</w:t>
      </w:r>
      <w:proofErr w:type="gramEnd"/>
      <w:r>
        <w:t xml:space="preserve"> pracemi </w:t>
      </w:r>
      <w:r w:rsidR="00A7534E">
        <w:t xml:space="preserve">nad rámec projektu </w:t>
      </w:r>
      <w:r>
        <w:t>(revize a dopracování dokumentací, tech</w:t>
      </w:r>
      <w:r w:rsidR="00A7534E">
        <w:t>nický dozor stavebníka, autorský</w:t>
      </w:r>
      <w:r>
        <w:t xml:space="preserve"> dohled, tepelně –technické a požární posudky, spolupráce zahradníka, </w:t>
      </w:r>
      <w:r w:rsidR="00CF58C3">
        <w:t>koordinátor BOZP), největší náklady:</w:t>
      </w:r>
    </w:p>
    <w:p w:rsidR="00424387" w:rsidRDefault="00424387" w:rsidP="00367FB0">
      <w:pPr>
        <w:contextualSpacing/>
        <w:jc w:val="both"/>
      </w:pPr>
      <w:r>
        <w:t>Projektant:</w:t>
      </w:r>
      <w:r>
        <w:tab/>
      </w:r>
      <w:r>
        <w:tab/>
        <w:t>+482 tis. Kč bez DPH</w:t>
      </w:r>
    </w:p>
    <w:p w:rsidR="00424387" w:rsidRDefault="00424387" w:rsidP="00367FB0">
      <w:pPr>
        <w:contextualSpacing/>
        <w:jc w:val="both"/>
      </w:pPr>
      <w:r>
        <w:t>Autorský dohled:</w:t>
      </w:r>
      <w:r>
        <w:tab/>
        <w:t>+171 tis. Kč bez DPH</w:t>
      </w:r>
    </w:p>
    <w:p w:rsidR="00424387" w:rsidRDefault="00424387" w:rsidP="00367FB0">
      <w:pPr>
        <w:contextualSpacing/>
        <w:jc w:val="both"/>
      </w:pPr>
      <w:r>
        <w:t>TDS:</w:t>
      </w:r>
      <w:r>
        <w:tab/>
      </w:r>
      <w:r>
        <w:tab/>
      </w:r>
      <w:r>
        <w:tab/>
        <w:t>+</w:t>
      </w:r>
      <w:r w:rsidR="00CF58C3">
        <w:t>804</w:t>
      </w:r>
      <w:r>
        <w:t xml:space="preserve"> tis. Kč</w:t>
      </w:r>
      <w:r w:rsidR="00CF58C3">
        <w:t xml:space="preserve"> bez DPH</w:t>
      </w:r>
    </w:p>
    <w:p w:rsidR="00CF58C3" w:rsidRDefault="00CF58C3" w:rsidP="00367FB0">
      <w:pPr>
        <w:contextualSpacing/>
        <w:jc w:val="both"/>
      </w:pPr>
    </w:p>
    <w:p w:rsidR="00CF58C3" w:rsidRDefault="00CF58C3" w:rsidP="00367FB0">
      <w:pPr>
        <w:contextualSpacing/>
        <w:jc w:val="both"/>
      </w:pPr>
      <w:r>
        <w:t xml:space="preserve">Náklady </w:t>
      </w:r>
      <w:r w:rsidR="00A96DC3">
        <w:t xml:space="preserve">projektu </w:t>
      </w:r>
      <w:r w:rsidR="008613B7">
        <w:t>celkově vč. DPH:</w:t>
      </w:r>
    </w:p>
    <w:p w:rsidR="00CF58C3" w:rsidRDefault="00CF58C3" w:rsidP="00367FB0">
      <w:pPr>
        <w:contextualSpacing/>
        <w:jc w:val="both"/>
      </w:pPr>
    </w:p>
    <w:tbl>
      <w:tblPr>
        <w:tblW w:w="954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1920"/>
        <w:gridCol w:w="155"/>
        <w:gridCol w:w="155"/>
        <w:gridCol w:w="2328"/>
        <w:gridCol w:w="2098"/>
        <w:gridCol w:w="2440"/>
      </w:tblGrid>
      <w:tr w:rsidR="00CF58C3" w:rsidRPr="00CF58C3" w:rsidTr="00CF58C3">
        <w:trPr>
          <w:trHeight w:val="300"/>
        </w:trPr>
        <w:tc>
          <w:tcPr>
            <w:tcW w:w="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ABF8F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ABF8F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Skupina</w:t>
            </w:r>
          </w:p>
        </w:tc>
        <w:tc>
          <w:tcPr>
            <w:tcW w:w="2638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ABF8F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 části akce</w:t>
            </w:r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ABF8F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Celkový předpoklad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Celkové skutečnost dle SOD</w:t>
            </w:r>
          </w:p>
        </w:tc>
      </w:tr>
      <w:tr w:rsidR="00CF58C3" w:rsidRPr="00CF58C3" w:rsidTr="00CF58C3">
        <w:trPr>
          <w:trHeight w:val="509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38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9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Služby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Spoluúčast 5% na nákladech za PD a služby související s pořízením stavby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228 363,00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Bistro</w:t>
            </w:r>
          </w:p>
        </w:tc>
        <w:tc>
          <w:tcPr>
            <w:tcW w:w="26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podíl na nákladech za PD a služby související s pořízením stavby na bistro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128 186,00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Výtah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TDS za část Stavby 1 - PS01 Výtah (SAFETY PRO)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32 791,80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TDS za  Stavbu 2 - dětská skupina a přepojení TZB(SAFETY PRO)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157 456,89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doplatek  nad rámec alokace dotace za PD a služby celkem (rozdíl mezi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vysoutěženými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cenami a alokací v dotaci)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1 131 725,00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Výtah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koordinátor BOZP za část Stavby 1 - PS01 výtah (VRV)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   2 387,48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koordinátor BOZP za Stavbu 2 -dětská skupina a přepojení TZB (VRV)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44 376,49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Bistro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PD změna stavby + IČ  bistro (INTAR)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241 714,00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DSP, DPS a IČ dětská skupina (INTAR)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285 662,00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koncept interiéru (INTAR) + PI dětská skupina (SVOBODA)+ grafický návrh (Borovec)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59 474,00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AD Stavba 2 (INTAR)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21 974,00 Kč </w:t>
            </w:r>
          </w:p>
        </w:tc>
      </w:tr>
      <w:tr w:rsidR="00CF58C3" w:rsidRPr="00CF58C3" w:rsidTr="00A96D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konzultace a kontrola DPS Stavba 1 (SUBTECH)</w:t>
            </w:r>
          </w:p>
        </w:tc>
        <w:tc>
          <w:tcPr>
            <w:tcW w:w="20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36 257,00 Kč </w:t>
            </w:r>
          </w:p>
        </w:tc>
      </w:tr>
      <w:tr w:rsidR="00CF58C3" w:rsidRPr="00CF58C3" w:rsidTr="00A96D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konzultace a kontrola DPS Stavba 2 (SUBTECH)</w:t>
            </w:r>
          </w:p>
        </w:tc>
        <w:tc>
          <w:tcPr>
            <w:tcW w:w="209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17 524,00 Kč </w:t>
            </w:r>
          </w:p>
        </w:tc>
      </w:tr>
      <w:tr w:rsidR="00CF58C3" w:rsidRPr="00CF58C3" w:rsidTr="00A96D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akustická studie aula 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12 086,00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polatky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NESS Czech - za uveřejnění formulářů VZ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10 000,00 Kč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archeologický průzkum pro Stavbu 1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   4 394,80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PD změna stavby - základy a statika Stavby 1  (INTAR)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212 049,10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TDS pro Stavbu 1 - Dodatek č. 2 - prodloužení výkonu činnosti po prodloužení termínů stavby (SAFETY PRO)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656 698,91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TDS pro Stavbu 1 - prodloužení výkonu činnosti po prodloužení termínů stavby (SAFETY PRO)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225 789,94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Úspora z projektu  (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vysoutěžení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kryomikrotonu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a IT prvků), která bude přesunuta na úhradu navýšení služe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b</w:t>
            </w: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TDS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-     487 311,54 Kč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koordinátor BOZP pro Stavbu 2 - Dodatek č. 2 - prodloužení výkonu činnosti  (VRV)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61 519,26 Kč </w:t>
            </w:r>
          </w:p>
        </w:tc>
      </w:tr>
      <w:tr w:rsidR="00CF58C3" w:rsidRPr="00CF58C3" w:rsidTr="00CF58C3">
        <w:trPr>
          <w:trHeight w:val="126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PD změna Stavby 2  (INTAR)  -náklad místo předpokládaného nákladu za AD Stavba 1- Dodatek č. 3 - prodloužení výkonu dle nových termínů výstavby (INTAR)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39 477,60 Kč 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Revize a doplnění DPS (INTAR), včetně PD revize AV techniky (INTAR)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331 721,50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Konzultace zahradník (Ing.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Mičola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10 593,16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autorský dohled (Arch. Mléčka)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67 600,00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projekční a inženýrská činnost (Arch. Mléčka)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54 600,00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technická a koordinační činnost (Arch. Mléčka)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97 500,00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projekt bistro (Arch. Mléčka)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31 200,00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koordinátor BOZP za část Stavby 1 - prodloužení termínů stavby (Dajč)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76 981,32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AD Stavba 1- individuální objednávka prodloužení výkonu dle nových termínů výstavby (INTAR)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197 388,00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vyvolané investice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sankce za nedodržení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profakturace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dotace v termínu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90 000,00 Kč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A96D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Posudek PBŘ</w:t>
            </w:r>
          </w:p>
        </w:tc>
        <w:tc>
          <w:tcPr>
            <w:tcW w:w="20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17 106,96 Kč </w:t>
            </w:r>
          </w:p>
        </w:tc>
      </w:tr>
      <w:tr w:rsidR="00CF58C3" w:rsidRPr="00CF58C3" w:rsidTr="00A96DC3">
        <w:trPr>
          <w:trHeight w:val="630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tepelně -technický posudek fasáda</w:t>
            </w:r>
          </w:p>
        </w:tc>
        <w:tc>
          <w:tcPr>
            <w:tcW w:w="209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12 128,40 Kč </w:t>
            </w:r>
          </w:p>
        </w:tc>
      </w:tr>
      <w:tr w:rsidR="00CF58C3" w:rsidRPr="00CF58C3" w:rsidTr="00A96DC3">
        <w:trPr>
          <w:trHeight w:val="630"/>
        </w:trPr>
        <w:tc>
          <w:tcPr>
            <w:tcW w:w="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lastRenderedPageBreak/>
              <w:t>Stavba, vybavení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spoluúčast 5% Stavba 1 - dotační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3 366 512,55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Bistro</w:t>
            </w:r>
          </w:p>
        </w:tc>
        <w:tc>
          <w:tcPr>
            <w:tcW w:w="26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podíl na nákladech za část Stavby 1- bistro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2 231 325,66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Výtah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podíl na nákladech za část Stavby 1  - PS01 Výtah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1 169 816,35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náklady za stavbu 2 - dětská skupina a přepojení TZB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5 617 085,57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doplatek  nad rámec alokace dotace za Stavbu 1  (rozdíl mezi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vysoutěženou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cenou a dotací)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2 508 646,00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trike/>
                <w:sz w:val="16"/>
                <w:szCs w:val="16"/>
                <w:lang w:eastAsia="cs-CZ"/>
              </w:rPr>
              <w:t xml:space="preserve">spoluúčast 5% na pořízení interiérového vybavení pro projekt 47 celkem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        -   Kč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pořízení interiérového vybavení pro projekt 47 celkem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6 733 710,36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Bistro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pořízení interiérového vybavení Bistra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1 192 552,31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trike/>
                <w:sz w:val="16"/>
                <w:szCs w:val="16"/>
                <w:lang w:eastAsia="cs-CZ"/>
              </w:rPr>
              <w:t>pořízení interiérového vybavení Dětská skupina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        -   Kč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trike/>
                <w:sz w:val="16"/>
                <w:szCs w:val="16"/>
                <w:lang w:eastAsia="cs-CZ"/>
              </w:rPr>
              <w:t>očekávaná úspora dle soutěže na  interiér v dotaci - přesun do stavby na vykrytí doplatku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        -   Kč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trike/>
                <w:sz w:val="16"/>
                <w:szCs w:val="16"/>
                <w:lang w:eastAsia="cs-CZ"/>
              </w:rPr>
              <w:t xml:space="preserve">spoluúčast 5% na vybavení AV technikou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vybavení AV technikou - vlastní prostředky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1 754 560,00 Kč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spoluúčast 5% na IT vybavení (aktivní prvky)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   9 821,88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IT vybavení (vlastní prostředky)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67 816,12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vyvolané investice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přemístění klimatizace (AC EURO),  přeložka optické spojky (Nej.cz )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   64 816,70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Dodatky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č. 2,3 a 4  - Změny Stavby 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688 455,12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Dodatky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 č. 2,3 a 4  - Změny Stavby 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181 318,49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č.5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6 860 396,70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č.5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141 655,65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č.6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2</w:t>
            </w:r>
          </w:p>
        </w:tc>
        <w:tc>
          <w:tcPr>
            <w:tcW w:w="20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239 151,84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č.6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1</w:t>
            </w:r>
          </w:p>
        </w:tc>
        <w:tc>
          <w:tcPr>
            <w:tcW w:w="209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240 711,05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č.6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1 vlastní prostředky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981 683,21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č.7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-                     26 615,53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povinná spoluúčast  5%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č.7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1 516 007,71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Dětská skupina a TZB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č.8 -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-                  202 029,51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č.8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-                  348 154,42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č.8 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1 vlastní prostředky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    819 335,71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č.9 - Změny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Stavby 1 vlastní prostředky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1 590 512,55 Kč </w:t>
            </w:r>
          </w:p>
        </w:tc>
      </w:tr>
      <w:tr w:rsidR="00CF58C3" w:rsidRPr="00CF58C3" w:rsidTr="00CF58C3">
        <w:trPr>
          <w:trHeight w:val="63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Doplatek nezpůsobilé 47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Dodatek </w:t>
            </w:r>
            <w:proofErr w:type="spell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SoD</w:t>
            </w:r>
            <w:proofErr w:type="spell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na stavbu </w:t>
            </w:r>
            <w:proofErr w:type="gramStart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č.10</w:t>
            </w:r>
            <w:proofErr w:type="gramEnd"/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- Změny Stavby 1 vlastní prostředky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 xml:space="preserve">               2 802 519,31 Kč </w:t>
            </w:r>
          </w:p>
        </w:tc>
      </w:tr>
      <w:tr w:rsidR="00CF58C3" w:rsidRPr="00CF58C3" w:rsidTr="00CF58C3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Celkem: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 xml:space="preserve">  1 406 726,06 Kč 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8C3" w:rsidRPr="00CF58C3" w:rsidRDefault="00CF58C3" w:rsidP="00CF5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 xml:space="preserve">           42 904 300,38 Kč </w:t>
            </w:r>
          </w:p>
        </w:tc>
      </w:tr>
      <w:tr w:rsidR="00CF58C3" w:rsidRPr="00CF58C3" w:rsidTr="00CF58C3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Celková očekávaná a nasmlouvaná skutečnost: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8C3" w:rsidRPr="00CF58C3" w:rsidRDefault="00CF58C3" w:rsidP="00CF58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58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         </w:t>
            </w:r>
            <w:r w:rsidRPr="00CF58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  44 213 974,96 Kč </w:t>
            </w:r>
          </w:p>
        </w:tc>
      </w:tr>
    </w:tbl>
    <w:p w:rsidR="00286C50" w:rsidRDefault="00286C50" w:rsidP="00367FB0">
      <w:pPr>
        <w:contextualSpacing/>
        <w:jc w:val="both"/>
      </w:pPr>
      <w:bookmarkStart w:id="0" w:name="_GoBack"/>
      <w:bookmarkEnd w:id="0"/>
    </w:p>
    <w:sectPr w:rsidR="00286C50" w:rsidSect="001E0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A708F"/>
    <w:multiLevelType w:val="hybridMultilevel"/>
    <w:tmpl w:val="E53CB5F2"/>
    <w:lvl w:ilvl="0" w:tplc="9A6236D4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62474B"/>
    <w:multiLevelType w:val="multilevel"/>
    <w:tmpl w:val="84FC3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5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16"/>
    <w:rsid w:val="0000754D"/>
    <w:rsid w:val="00032726"/>
    <w:rsid w:val="000357ED"/>
    <w:rsid w:val="00074C1C"/>
    <w:rsid w:val="000A10FA"/>
    <w:rsid w:val="000A75F5"/>
    <w:rsid w:val="000B33AA"/>
    <w:rsid w:val="000B3C02"/>
    <w:rsid w:val="000C31BC"/>
    <w:rsid w:val="000C559B"/>
    <w:rsid w:val="000D2C9D"/>
    <w:rsid w:val="000E5F21"/>
    <w:rsid w:val="0012746C"/>
    <w:rsid w:val="00131D0B"/>
    <w:rsid w:val="00140546"/>
    <w:rsid w:val="00153180"/>
    <w:rsid w:val="001539BE"/>
    <w:rsid w:val="001552FC"/>
    <w:rsid w:val="00161AD5"/>
    <w:rsid w:val="001711C3"/>
    <w:rsid w:val="00183BE3"/>
    <w:rsid w:val="001C1A86"/>
    <w:rsid w:val="001C5026"/>
    <w:rsid w:val="001D24A6"/>
    <w:rsid w:val="001E0290"/>
    <w:rsid w:val="0022192F"/>
    <w:rsid w:val="00244895"/>
    <w:rsid w:val="00266DE9"/>
    <w:rsid w:val="00286C50"/>
    <w:rsid w:val="002916CC"/>
    <w:rsid w:val="00293EA5"/>
    <w:rsid w:val="002C139D"/>
    <w:rsid w:val="002C47DD"/>
    <w:rsid w:val="002C4948"/>
    <w:rsid w:val="002D01BE"/>
    <w:rsid w:val="002D6108"/>
    <w:rsid w:val="002E1EE9"/>
    <w:rsid w:val="002F5398"/>
    <w:rsid w:val="0030113F"/>
    <w:rsid w:val="00301F1C"/>
    <w:rsid w:val="003412CF"/>
    <w:rsid w:val="00367FB0"/>
    <w:rsid w:val="003738B6"/>
    <w:rsid w:val="003853F3"/>
    <w:rsid w:val="0039232B"/>
    <w:rsid w:val="003929F5"/>
    <w:rsid w:val="003A1DA2"/>
    <w:rsid w:val="004073CE"/>
    <w:rsid w:val="0040767E"/>
    <w:rsid w:val="0041475E"/>
    <w:rsid w:val="0042037F"/>
    <w:rsid w:val="00424387"/>
    <w:rsid w:val="00444522"/>
    <w:rsid w:val="00451BBC"/>
    <w:rsid w:val="00453E33"/>
    <w:rsid w:val="00480016"/>
    <w:rsid w:val="00483176"/>
    <w:rsid w:val="004963C8"/>
    <w:rsid w:val="004A16D4"/>
    <w:rsid w:val="004C6856"/>
    <w:rsid w:val="004C6F62"/>
    <w:rsid w:val="004E4421"/>
    <w:rsid w:val="004F3C7F"/>
    <w:rsid w:val="00510862"/>
    <w:rsid w:val="00521632"/>
    <w:rsid w:val="0055492F"/>
    <w:rsid w:val="00567ABE"/>
    <w:rsid w:val="005B1D8A"/>
    <w:rsid w:val="005C6328"/>
    <w:rsid w:val="005D38BB"/>
    <w:rsid w:val="005E0EBD"/>
    <w:rsid w:val="005E19C2"/>
    <w:rsid w:val="005E56E9"/>
    <w:rsid w:val="005E6DDE"/>
    <w:rsid w:val="00610F6D"/>
    <w:rsid w:val="00620511"/>
    <w:rsid w:val="00624E9A"/>
    <w:rsid w:val="006255A8"/>
    <w:rsid w:val="0063687E"/>
    <w:rsid w:val="00644752"/>
    <w:rsid w:val="00646C6A"/>
    <w:rsid w:val="00672EA6"/>
    <w:rsid w:val="006B2BF3"/>
    <w:rsid w:val="006C42C0"/>
    <w:rsid w:val="006D7D21"/>
    <w:rsid w:val="006F08BE"/>
    <w:rsid w:val="0073044D"/>
    <w:rsid w:val="00770153"/>
    <w:rsid w:val="00786956"/>
    <w:rsid w:val="00795327"/>
    <w:rsid w:val="007E1239"/>
    <w:rsid w:val="007E60FF"/>
    <w:rsid w:val="007F1313"/>
    <w:rsid w:val="00802CFD"/>
    <w:rsid w:val="00803AD1"/>
    <w:rsid w:val="00824192"/>
    <w:rsid w:val="008515F2"/>
    <w:rsid w:val="008613B7"/>
    <w:rsid w:val="00871F56"/>
    <w:rsid w:val="008728A3"/>
    <w:rsid w:val="00874471"/>
    <w:rsid w:val="00884C8C"/>
    <w:rsid w:val="00893CB3"/>
    <w:rsid w:val="008A22D2"/>
    <w:rsid w:val="008B2ACF"/>
    <w:rsid w:val="008E6EAD"/>
    <w:rsid w:val="0090588E"/>
    <w:rsid w:val="00912EF2"/>
    <w:rsid w:val="0093411A"/>
    <w:rsid w:val="00943957"/>
    <w:rsid w:val="00944A7F"/>
    <w:rsid w:val="00945D47"/>
    <w:rsid w:val="00957F7B"/>
    <w:rsid w:val="00986E3B"/>
    <w:rsid w:val="009A0CDB"/>
    <w:rsid w:val="009A7EF2"/>
    <w:rsid w:val="00A10B05"/>
    <w:rsid w:val="00A33731"/>
    <w:rsid w:val="00A4441C"/>
    <w:rsid w:val="00A55C75"/>
    <w:rsid w:val="00A55F9A"/>
    <w:rsid w:val="00A567A8"/>
    <w:rsid w:val="00A65407"/>
    <w:rsid w:val="00A7365C"/>
    <w:rsid w:val="00A7534E"/>
    <w:rsid w:val="00A8449A"/>
    <w:rsid w:val="00A96DC3"/>
    <w:rsid w:val="00AD22C0"/>
    <w:rsid w:val="00AD302F"/>
    <w:rsid w:val="00AE2E42"/>
    <w:rsid w:val="00AE6990"/>
    <w:rsid w:val="00AF285C"/>
    <w:rsid w:val="00B02CEF"/>
    <w:rsid w:val="00B10CC1"/>
    <w:rsid w:val="00B347A5"/>
    <w:rsid w:val="00B5153D"/>
    <w:rsid w:val="00B72367"/>
    <w:rsid w:val="00B74AFC"/>
    <w:rsid w:val="00BC1962"/>
    <w:rsid w:val="00BD3338"/>
    <w:rsid w:val="00BE245E"/>
    <w:rsid w:val="00BE3DA0"/>
    <w:rsid w:val="00C06AD8"/>
    <w:rsid w:val="00C127E2"/>
    <w:rsid w:val="00C24F23"/>
    <w:rsid w:val="00C32097"/>
    <w:rsid w:val="00C47A27"/>
    <w:rsid w:val="00C53C64"/>
    <w:rsid w:val="00CF1AB2"/>
    <w:rsid w:val="00CF58C3"/>
    <w:rsid w:val="00D163EB"/>
    <w:rsid w:val="00D17452"/>
    <w:rsid w:val="00D23082"/>
    <w:rsid w:val="00D32C88"/>
    <w:rsid w:val="00D40EC8"/>
    <w:rsid w:val="00D54194"/>
    <w:rsid w:val="00D629A9"/>
    <w:rsid w:val="00D700AA"/>
    <w:rsid w:val="00DC5D3B"/>
    <w:rsid w:val="00DD4AE9"/>
    <w:rsid w:val="00E12250"/>
    <w:rsid w:val="00E25312"/>
    <w:rsid w:val="00E46AE7"/>
    <w:rsid w:val="00E86BEB"/>
    <w:rsid w:val="00E93195"/>
    <w:rsid w:val="00EA456A"/>
    <w:rsid w:val="00ED380B"/>
    <w:rsid w:val="00ED46A9"/>
    <w:rsid w:val="00EE7702"/>
    <w:rsid w:val="00F17AD9"/>
    <w:rsid w:val="00F300C4"/>
    <w:rsid w:val="00F519AB"/>
    <w:rsid w:val="00F526B5"/>
    <w:rsid w:val="00F543DF"/>
    <w:rsid w:val="00F81842"/>
    <w:rsid w:val="00FB152E"/>
    <w:rsid w:val="00FB4ED5"/>
    <w:rsid w:val="00FC0102"/>
    <w:rsid w:val="00FC763D"/>
    <w:rsid w:val="00FF0DBE"/>
    <w:rsid w:val="00FF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D6C5"/>
  <w15:docId w15:val="{16D50D26-2C67-4F27-BDEE-22BDD1CB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7F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480016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80016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266DE9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6D7D21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67F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2344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Michaela Holecová</dc:creator>
  <cp:lastModifiedBy>Mgr. Jan Říha, Ph.D.</cp:lastModifiedBy>
  <cp:revision>3</cp:revision>
  <cp:lastPrinted>2020-08-27T09:46:00Z</cp:lastPrinted>
  <dcterms:created xsi:type="dcterms:W3CDTF">2020-09-22T07:33:00Z</dcterms:created>
  <dcterms:modified xsi:type="dcterms:W3CDTF">2020-09-22T07:34:00Z</dcterms:modified>
</cp:coreProperties>
</file>