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630AD">
        <w:rPr>
          <w:rFonts w:asciiTheme="minorHAnsi" w:hAnsiTheme="minorHAnsi"/>
          <w:b/>
          <w:sz w:val="28"/>
          <w:szCs w:val="28"/>
        </w:rPr>
        <w:t xml:space="preserve"> </w:t>
      </w:r>
      <w:r w:rsidR="006E12BB" w:rsidRPr="006E12BB">
        <w:rPr>
          <w:rFonts w:asciiTheme="minorHAnsi" w:hAnsiTheme="minorHAnsi"/>
          <w:b/>
          <w:sz w:val="28"/>
          <w:szCs w:val="28"/>
        </w:rPr>
        <w:t>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767B58" w:rsidP="00493D45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Zdravotnické obory</w:t>
            </w:r>
            <w:r w:rsidR="00493D45">
              <w:rPr>
                <w:rFonts w:asciiTheme="minorHAnsi" w:hAnsiTheme="minorHAnsi"/>
                <w:sz w:val="22"/>
              </w:rPr>
              <w:t xml:space="preserve"> + </w:t>
            </w:r>
            <w:r w:rsidR="00493D45" w:rsidRPr="00493D45">
              <w:rPr>
                <w:rFonts w:asciiTheme="minorHAnsi" w:hAnsiTheme="minorHAnsi"/>
                <w:sz w:val="22"/>
              </w:rPr>
              <w:t xml:space="preserve">Biologie, ekologie a životní prostředí 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992FC0" w:rsidP="00767B58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Zdravotn</w:t>
            </w:r>
            <w:r w:rsidR="00767B58">
              <w:rPr>
                <w:rFonts w:asciiTheme="minorHAnsi" w:hAnsiTheme="minorHAnsi"/>
                <w:sz w:val="22"/>
              </w:rPr>
              <w:t>i</w:t>
            </w:r>
            <w:r>
              <w:rPr>
                <w:rFonts w:asciiTheme="minorHAnsi" w:hAnsiTheme="minorHAnsi"/>
                <w:sz w:val="22"/>
              </w:rPr>
              <w:t>cké obory + Biologie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4525FD" w:rsidRPr="006E12BB" w:rsidRDefault="002E4808" w:rsidP="00A73D7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Experimentální biologie</w:t>
            </w:r>
            <w:r w:rsidR="004525FD">
              <w:rPr>
                <w:rFonts w:asciiTheme="minorHAnsi" w:hAnsiTheme="minorHAnsi" w:cs="Cambria"/>
                <w:sz w:val="22"/>
              </w:rPr>
              <w:t>, navazující magisterský</w:t>
            </w:r>
            <w:bookmarkStart w:id="0" w:name="_GoBack"/>
            <w:bookmarkEnd w:id="0"/>
            <w:r w:rsidR="004525FD">
              <w:rPr>
                <w:rFonts w:asciiTheme="minorHAnsi" w:hAnsiTheme="minorHAnsi" w:cs="Cambria"/>
                <w:sz w:val="22"/>
              </w:rPr>
              <w:t>, prezenční, český jazyk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6E12BB" w:rsidRPr="006E12BB" w:rsidRDefault="002E4808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Prof. Ing. Miroslav Strnad, CSc</w:t>
            </w:r>
            <w:r w:rsidR="004525FD">
              <w:rPr>
                <w:rFonts w:asciiTheme="minorHAnsi" w:hAnsiTheme="minorHAnsi"/>
                <w:sz w:val="22"/>
              </w:rPr>
              <w:t>.</w:t>
            </w:r>
            <w:r>
              <w:rPr>
                <w:rFonts w:asciiTheme="minorHAnsi" w:hAnsiTheme="minorHAnsi"/>
                <w:sz w:val="22"/>
              </w:rPr>
              <w:t>, DSc.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493D45" w:rsidP="00493D45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493D45">
              <w:rPr>
                <w:rFonts w:asciiTheme="minorHAnsi" w:hAnsiTheme="minorHAnsi"/>
                <w:sz w:val="22"/>
              </w:rPr>
              <w:t>Absolvent magisterského studia v oboru „Experimentální biologie“ má široké obecně biologické a biomedicínské vzdělání s výrazným zaměřením na buněčnou, molekulárně biologickou, biomedicínskou a experimentálně biologickou oblast. Je profilován k samostatné vysoce odborné práci na kvalitní metodické úrovni a s moderními instrumentálními prostředky. Je schopen vědecko-výzkumné činnosti v oboru. Uplatní s ve vedoucích funkcích ve zdravotnických zařízeních, v diagnostických a výzkumných laboratořích, v zemědělství, v potravinářství, v biotechnologických firmách, ale i při vědecko- výzkumné činnosti na univerzitách a v ústavech základního a aplikovaného výzkumu. Je schopen navrhnout, zorganizovat a realizovat složité biologické a biomedicínské experimenty a diagnostické postupy, přiměřeně komunikovat se spolupracovníky a adekvátní formou prezentovat výsledky své práce. Je připraven k doktorandskému studiu v oborech biologie, biochemie a medicíny.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493D45" w:rsidP="00493D45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493D45">
              <w:rPr>
                <w:rFonts w:asciiTheme="minorHAnsi" w:hAnsiTheme="minorHAnsi"/>
                <w:sz w:val="22"/>
              </w:rPr>
              <w:t xml:space="preserve">Experimentální biologie </w:t>
            </w:r>
            <w:r>
              <w:rPr>
                <w:rFonts w:asciiTheme="minorHAnsi" w:hAnsiTheme="minorHAnsi"/>
                <w:sz w:val="22"/>
              </w:rPr>
              <w:t>je studijní program zaměřený</w:t>
            </w:r>
            <w:r w:rsidRPr="00493D45">
              <w:rPr>
                <w:rFonts w:asciiTheme="minorHAnsi" w:hAnsiTheme="minorHAnsi"/>
                <w:sz w:val="22"/>
              </w:rPr>
              <w:t xml:space="preserve"> na přípravu pro výkon regulovaného povolání </w:t>
            </w:r>
            <w:r w:rsidR="00992FC0">
              <w:rPr>
                <w:rFonts w:asciiTheme="minorHAnsi" w:hAnsiTheme="minorHAnsi"/>
                <w:sz w:val="22"/>
              </w:rPr>
              <w:t xml:space="preserve"> </w:t>
            </w:r>
            <w:r w:rsidR="00992FC0" w:rsidRPr="00992FC0">
              <w:rPr>
                <w:rFonts w:asciiTheme="minorHAnsi" w:hAnsiTheme="minorHAnsi"/>
                <w:sz w:val="22"/>
              </w:rPr>
              <w:t>orgán pro oblast vzdělávání Zdravotnické obory.</w:t>
            </w:r>
            <w:r w:rsidR="00992FC0">
              <w:rPr>
                <w:rFonts w:asciiTheme="minorHAnsi" w:hAnsiTheme="minorHAnsi"/>
                <w:sz w:val="22"/>
              </w:rPr>
              <w:t xml:space="preserve"> Experimentální biologie </w:t>
            </w:r>
            <w:r w:rsidRPr="00493D45">
              <w:rPr>
                <w:rFonts w:asciiTheme="minorHAnsi" w:hAnsiTheme="minorHAnsi"/>
                <w:sz w:val="22"/>
              </w:rPr>
              <w:t xml:space="preserve">zahrnuje novou velmi rychle se rozvíjející oblast biologie zaměřenou na studium procesů probíhajících na submikroskopické i mikroskopické úrovni. </w:t>
            </w:r>
            <w:r>
              <w:rPr>
                <w:rFonts w:asciiTheme="minorHAnsi" w:hAnsiTheme="minorHAnsi"/>
                <w:sz w:val="22"/>
              </w:rPr>
              <w:t>R</w:t>
            </w:r>
            <w:r w:rsidRPr="00493D45">
              <w:rPr>
                <w:rFonts w:asciiTheme="minorHAnsi" w:hAnsiTheme="minorHAnsi"/>
                <w:sz w:val="22"/>
              </w:rPr>
              <w:t xml:space="preserve">ozvoj experimentální biologie, biomedicíny a biotechnologií vyžaduje vysoce kvalifikované odborníky, na jejichž přípravu je zaměřeno studium daného oboru. Studenti získají potřebné informace o biologických, biochemických i biofyzikálních procesech na molekulární i buněčné úrovni, o jejich vzájemné provázanosti, propojení se strukturovaností biologických objektů a o jejich funkčním významu v rámci mnohobuněčného organismu, zejména pak člověka. Studium je zaměřeno na recentní poznatky experimentální biologie a biomediciny a možnosti jejich aplikace, na nové postupy v klonování, DNA technologiích, na genetické manipulace na molekulární úrovni u rostlin i živočichů, na submikroskopické metody studia, imunochemické a imunobiologické postupy zviditelňující některé buněčné struktury, na genomiku a </w:t>
            </w:r>
            <w:r w:rsidRPr="00493D45">
              <w:rPr>
                <w:rFonts w:asciiTheme="minorHAnsi" w:hAnsiTheme="minorHAnsi"/>
                <w:sz w:val="22"/>
              </w:rPr>
              <w:lastRenderedPageBreak/>
              <w:t>proteomiku i na medicínské aspekty biologie. Velká pozornost bude věnována zejména biomedicíně v rámci studia fyziologických a molekulárně-biologických principů lidských onemocnění. Hlavní důraz bude položen na poznání principů a mechanizmů onemocnění (patofyziologie) a s tím souvisejícím vývojem léčiv (farmakologie) směrovaných na molekulární cíle v patologické buňce. Do programu magisterského studia jsou zařazeny i předměty, které umožní absolventům získání odborné způsobilosti k výkonu povolání odborného pracovníka v laboratorních metodách (dle Zákona č. 96/2004 Sb.), které dává možnost k práci ve zdravotnických zařízeních a následným atestacím. Posluchači musí zvládnout potřebné obecné i speciální instrumentální metody používané v experimentální biologii a medicíně. V průběhu studia bude kladen důraz i na rozvíjení tvůrčích schopností posluchačů, jejich nezbytnou jazykovou erudici a schopnost přiměřené prezentace výsledků jejich vlastní práce. Absolvování magisterského studia završené vypracováním diplomové práce a složením státní závěrečné zkoušky umožní průchodnost do doktorandských programů na přírodovědeckých i lékařských fakultách.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50C" w:rsidRDefault="002D450C" w:rsidP="00F15613">
      <w:pPr>
        <w:spacing w:line="240" w:lineRule="auto"/>
      </w:pPr>
      <w:r>
        <w:separator/>
      </w:r>
    </w:p>
  </w:endnote>
  <w:endnote w:type="continuationSeparator" w:id="0">
    <w:p w:rsidR="002D450C" w:rsidRDefault="002D450C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50C" w:rsidRDefault="002D450C" w:rsidP="00F15613">
      <w:pPr>
        <w:spacing w:line="240" w:lineRule="auto"/>
      </w:pPr>
      <w:r>
        <w:separator/>
      </w:r>
    </w:p>
  </w:footnote>
  <w:footnote w:type="continuationSeparator" w:id="0">
    <w:p w:rsidR="002D450C" w:rsidRDefault="002D450C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113B"/>
    <w:rsid w:val="0005456A"/>
    <w:rsid w:val="0007026C"/>
    <w:rsid w:val="00070CF8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670D8"/>
    <w:rsid w:val="00276D6B"/>
    <w:rsid w:val="002A297C"/>
    <w:rsid w:val="002B1AED"/>
    <w:rsid w:val="002D450C"/>
    <w:rsid w:val="002E3612"/>
    <w:rsid w:val="002E4808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50B1B"/>
    <w:rsid w:val="004525FD"/>
    <w:rsid w:val="004542A3"/>
    <w:rsid w:val="00474723"/>
    <w:rsid w:val="00486300"/>
    <w:rsid w:val="00493D45"/>
    <w:rsid w:val="004A4A6C"/>
    <w:rsid w:val="004D171B"/>
    <w:rsid w:val="004E018F"/>
    <w:rsid w:val="004E6EAB"/>
    <w:rsid w:val="004F4E67"/>
    <w:rsid w:val="005029E3"/>
    <w:rsid w:val="00502BEF"/>
    <w:rsid w:val="00510B17"/>
    <w:rsid w:val="00517CE5"/>
    <w:rsid w:val="00522D00"/>
    <w:rsid w:val="00540537"/>
    <w:rsid w:val="00560CE7"/>
    <w:rsid w:val="0058098E"/>
    <w:rsid w:val="00593A5F"/>
    <w:rsid w:val="005B6853"/>
    <w:rsid w:val="005C2BD0"/>
    <w:rsid w:val="005E387A"/>
    <w:rsid w:val="005F1316"/>
    <w:rsid w:val="005F71B7"/>
    <w:rsid w:val="006630AD"/>
    <w:rsid w:val="00663292"/>
    <w:rsid w:val="00680944"/>
    <w:rsid w:val="006939D3"/>
    <w:rsid w:val="006B22CE"/>
    <w:rsid w:val="006B583D"/>
    <w:rsid w:val="006E12BB"/>
    <w:rsid w:val="006E3956"/>
    <w:rsid w:val="006F3083"/>
    <w:rsid w:val="00702C0D"/>
    <w:rsid w:val="007354DC"/>
    <w:rsid w:val="0073624D"/>
    <w:rsid w:val="007400F2"/>
    <w:rsid w:val="00767B58"/>
    <w:rsid w:val="007818D5"/>
    <w:rsid w:val="007E4276"/>
    <w:rsid w:val="007F53AB"/>
    <w:rsid w:val="007F6FCC"/>
    <w:rsid w:val="0081047F"/>
    <w:rsid w:val="0083165C"/>
    <w:rsid w:val="008540B9"/>
    <w:rsid w:val="00862C56"/>
    <w:rsid w:val="00886C7D"/>
    <w:rsid w:val="008A2544"/>
    <w:rsid w:val="008C2DB1"/>
    <w:rsid w:val="008D5E1C"/>
    <w:rsid w:val="008D7C11"/>
    <w:rsid w:val="008E27A7"/>
    <w:rsid w:val="009500DB"/>
    <w:rsid w:val="009554FB"/>
    <w:rsid w:val="00977899"/>
    <w:rsid w:val="00984D58"/>
    <w:rsid w:val="00987B5D"/>
    <w:rsid w:val="00990090"/>
    <w:rsid w:val="00992FC0"/>
    <w:rsid w:val="009A4F80"/>
    <w:rsid w:val="009A5C06"/>
    <w:rsid w:val="009E629B"/>
    <w:rsid w:val="009F1133"/>
    <w:rsid w:val="009F3F9F"/>
    <w:rsid w:val="00A0152E"/>
    <w:rsid w:val="00A04911"/>
    <w:rsid w:val="00A1351A"/>
    <w:rsid w:val="00A4720C"/>
    <w:rsid w:val="00A5561A"/>
    <w:rsid w:val="00A73D7B"/>
    <w:rsid w:val="00A81641"/>
    <w:rsid w:val="00A83D8F"/>
    <w:rsid w:val="00AB643C"/>
    <w:rsid w:val="00AB719C"/>
    <w:rsid w:val="00AC3354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558C0"/>
    <w:rsid w:val="00D61B91"/>
    <w:rsid w:val="00D62385"/>
    <w:rsid w:val="00D62ECC"/>
    <w:rsid w:val="00D72FCF"/>
    <w:rsid w:val="00D7317D"/>
    <w:rsid w:val="00D86142"/>
    <w:rsid w:val="00D955E7"/>
    <w:rsid w:val="00DA064B"/>
    <w:rsid w:val="00DC1FDC"/>
    <w:rsid w:val="00DC5D9B"/>
    <w:rsid w:val="00DC5FA7"/>
    <w:rsid w:val="00DD405B"/>
    <w:rsid w:val="00DE39B0"/>
    <w:rsid w:val="00DE41E0"/>
    <w:rsid w:val="00DE6304"/>
    <w:rsid w:val="00E27B14"/>
    <w:rsid w:val="00E3730C"/>
    <w:rsid w:val="00E37F73"/>
    <w:rsid w:val="00E5353D"/>
    <w:rsid w:val="00E566F7"/>
    <w:rsid w:val="00E97744"/>
    <w:rsid w:val="00EB6265"/>
    <w:rsid w:val="00EF3180"/>
    <w:rsid w:val="00F0078F"/>
    <w:rsid w:val="00F11270"/>
    <w:rsid w:val="00F15613"/>
    <w:rsid w:val="00F26687"/>
    <w:rsid w:val="00F539C7"/>
    <w:rsid w:val="00F71096"/>
    <w:rsid w:val="00F74A2E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B4731"/>
  <w15:docId w15:val="{9BA5D2DA-D025-47B7-80B0-0C26DACB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710D0-FAFC-45FB-9E58-58DBEB21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6</TotalTime>
  <Pages>2</Pages>
  <Words>534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4</cp:revision>
  <cp:lastPrinted>2016-06-17T08:05:00Z</cp:lastPrinted>
  <dcterms:created xsi:type="dcterms:W3CDTF">2019-10-25T15:51:00Z</dcterms:created>
  <dcterms:modified xsi:type="dcterms:W3CDTF">2019-11-11T06:43:00Z</dcterms:modified>
</cp:coreProperties>
</file>