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V souvislosti s usnesením Vlády České republiky č. 215 ze dne 15. 3. 2020, kterým byl vyhlášen zákaz volného pohybu osob na území celé České republiky, a s ohledem na skutečnost, že je tím znemožněna osobní přítomnost většiny senátorů na zasedání AS UP, bude se zasedání AS UP dne 18. 3. 2020 mimořádně konat formou videokonference.</w:t>
      </w:r>
    </w:p>
    <w:p>
      <w:pPr>
        <w:pStyle w:val="Normal"/>
        <w:rPr/>
      </w:pPr>
      <w:bookmarkStart w:id="0" w:name="_GoBack"/>
      <w:bookmarkStart w:id="1" w:name="_GoBack"/>
      <w:bookmarkEnd w:id="1"/>
      <w:r>
        <w:rPr/>
      </w:r>
    </w:p>
    <w:p>
      <w:pPr>
        <w:pStyle w:val="Normal"/>
        <w:rPr>
          <w:rFonts w:cs="Calibri" w:cstheme="minorHAnsi"/>
        </w:rPr>
      </w:pPr>
      <w:r>
        <w:rPr>
          <w:rFonts w:cs="Calibri" w:cstheme="minorHAnsi"/>
        </w:rPr>
        <w:t>AS UP schválil upravený program zasedání.</w:t>
      </w:r>
    </w:p>
    <w:p>
      <w:pPr>
        <w:pStyle w:val="Normal"/>
        <w:rPr>
          <w:rFonts w:cs="Calibri" w:cstheme="minorHAnsi"/>
        </w:rPr>
      </w:pPr>
      <w:r>
        <w:rPr>
          <w:rFonts w:cs="Calibri" w:cstheme="minorHAnsi"/>
        </w:rPr>
      </w:r>
    </w:p>
    <w:p>
      <w:pPr>
        <w:pStyle w:val="Normal"/>
        <w:rPr>
          <w:rFonts w:cs="Calibri" w:cstheme="minorHAnsi"/>
        </w:rPr>
      </w:pPr>
      <w:r>
        <w:rPr/>
        <w:t>AS UP schvaluje 3 pozměňovací návrhy k novele č. 6 Statutu UP.</w:t>
      </w:r>
    </w:p>
    <w:p>
      <w:pPr>
        <w:pStyle w:val="Normal"/>
        <w:rPr>
          <w:rFonts w:cs="Calibri" w:cstheme="minorHAnsi"/>
        </w:rPr>
      </w:pPr>
      <w:r>
        <w:rPr>
          <w:rFonts w:cs="Calibri" w:cstheme="minorHAnsi"/>
        </w:rPr>
        <w:t>AS UP schvaluje novelu č. 6 Statutu UP ve znění po jednání LK AS UP a ve znění přijatých pozměňovacích návrhů.</w:t>
      </w:r>
    </w:p>
    <w:p>
      <w:pPr>
        <w:pStyle w:val="Normal"/>
        <w:rPr>
          <w:rFonts w:cs="Calibri" w:cstheme="minorHAnsi"/>
          <w:color w:val="FF0000"/>
        </w:rPr>
      </w:pPr>
      <w:r>
        <w:rPr>
          <w:rFonts w:cs="Calibri" w:cstheme="minorHAnsi"/>
          <w:color w:val="FF0000"/>
        </w:rPr>
      </w:r>
    </w:p>
    <w:p>
      <w:pPr>
        <w:pStyle w:val="Normal"/>
        <w:rPr>
          <w:b/>
          <w:b/>
          <w:bCs/>
        </w:rPr>
      </w:pPr>
      <w:r>
        <w:rPr>
          <w:b/>
          <w:bCs/>
        </w:rPr>
        <w:t>Usnesení k volbám:</w:t>
      </w:r>
    </w:p>
    <w:p>
      <w:pPr>
        <w:pStyle w:val="Annotationtext"/>
        <w:spacing w:before="0" w:after="0"/>
        <w:jc w:val="both"/>
        <w:rPr>
          <w:bCs/>
        </w:rPr>
      </w:pPr>
      <w:r>
        <w:rPr>
          <w:bCs/>
        </w:rPr>
        <w:t xml:space="preserve">V souvislosti s usnesením  Vlády České republiky č. 215 ze dne 15. 3. 2020, kterým byl vyhlášen zákaz volného pohybu osob na území celé České republiky, dále v souvislosti s usnesením Vlády České republiky ze dne 12. 3. 2020 č. 201, kterým se zakazuje osobní přítomnost studentů na hromadných formách výuky a zkoušek při studiu na vysoké škole, a v návaznosti na informace MŠMT pro vysoké školy v souvislosti s vyhlášeným nouzovým stavem a s uložením výše uvedeného zákazu volného pohybu osob na území celé České republiky </w:t>
      </w:r>
      <w:r>
        <w:rPr>
          <w:bCs/>
          <w:vanish/>
        </w:rPr>
        <w:t>členů AS UP 0, přičemž nelze aplikovat jednání dne 18.3.2020 formou videokonference.</w:t>
      </w:r>
    </w:p>
    <w:p>
      <w:pPr>
        <w:pStyle w:val="Annotationtext"/>
        <w:spacing w:before="0" w:after="0"/>
        <w:jc w:val="both"/>
        <w:rPr>
          <w:bCs/>
        </w:rPr>
      </w:pPr>
      <w:r>
        <w:rPr>
          <w:bCs/>
          <w:vanish/>
        </w:rPr>
        <w:t xml:space="preserve"> </w:t>
      </w:r>
      <w:r>
        <w:rPr>
          <w:bCs/>
          <w:vanish/>
        </w:rPr>
        <w:t xml:space="preserve">ve všech případech, kdy je to možné, a to </w:t>
      </w:r>
      <w:r>
        <w:rPr>
          <w:bCs/>
        </w:rPr>
        <w:t>a z něj plynoucího zákazu osobní přítomnosti studentů na studiu na vysoké škole a dále vzhledem k panující obavě z prodloužení opatření zákazu volného pohybu osob, mění Akademický senát Univerzity Palackého v Olomouci (dále jen AS UP) již dříve, v souladu s čl. 2 odst. 2 a odst. 4 Volebního řádu AS UP, schválený harmonogram voleb do AS UP na funkční období 2020–2023 schválený na zasedání AS UP dne 15. 11. 2019, a to v rozsahu intervalu trvání voleb, vyhlášení výsledků voleb a lhůty pro podávání stížností na průběh voleb.</w:t>
      </w:r>
    </w:p>
    <w:p>
      <w:pPr>
        <w:pStyle w:val="Normal"/>
        <w:spacing w:lineRule="auto" w:line="240" w:before="0" w:after="0"/>
        <w:jc w:val="both"/>
        <w:rPr>
          <w:bCs/>
          <w:sz w:val="20"/>
          <w:szCs w:val="20"/>
        </w:rPr>
      </w:pPr>
      <w:r>
        <w:rPr>
          <w:bCs/>
          <w:sz w:val="20"/>
          <w:szCs w:val="20"/>
        </w:rPr>
      </w:r>
    </w:p>
    <w:p>
      <w:pPr>
        <w:pStyle w:val="Normal"/>
        <w:spacing w:lineRule="auto" w:line="240" w:before="0" w:after="0"/>
        <w:jc w:val="both"/>
        <w:rPr>
          <w:bCs/>
          <w:sz w:val="20"/>
          <w:szCs w:val="20"/>
        </w:rPr>
      </w:pPr>
      <w:r>
        <w:rPr>
          <w:bCs/>
          <w:sz w:val="20"/>
          <w:szCs w:val="20"/>
        </w:rPr>
        <w:t>Důvodem pro změnu harmonogramu voleb je skutečnost, že z důvodu výše uvedeného zákazu osobní přítomnosti studentů na studiu, který je, na rozdíl od zákazu volného pohybu osob, časově neomezený, se studenti nebudou zdržovat v prostorách Univerzity Palackého v Olomouci a neměli by tedy možnost se voleb do AS UP zúčastnit; dalším důvodem je obava z prodloužení zákazu volného pohybu osob, která dopadá na všechny členy akademické obce UP, čímž by ve svém důsledku byla znemožněna účast všech členů akademické obce UP ve volbách. AS UP si je vědom nezbytnosti tohoto postupu s ohledem na potřebu chránit veřejný zájem na ochraně veřejného zdraví i přes porušení některých ustanovení Volebního řádu AS UP.</w:t>
      </w:r>
    </w:p>
    <w:p>
      <w:pPr>
        <w:pStyle w:val="Normal"/>
        <w:spacing w:lineRule="auto" w:line="240" w:before="0" w:after="0"/>
        <w:jc w:val="both"/>
        <w:rPr>
          <w:bCs/>
          <w:sz w:val="20"/>
          <w:szCs w:val="20"/>
        </w:rPr>
      </w:pPr>
      <w:r>
        <w:rPr>
          <w:bCs/>
          <w:sz w:val="20"/>
          <w:szCs w:val="20"/>
        </w:rPr>
      </w:r>
    </w:p>
    <w:p>
      <w:pPr>
        <w:pStyle w:val="Normal"/>
        <w:spacing w:lineRule="auto" w:line="240" w:before="0" w:after="0"/>
        <w:jc w:val="both"/>
        <w:rPr>
          <w:bCs/>
          <w:sz w:val="20"/>
          <w:szCs w:val="20"/>
        </w:rPr>
      </w:pPr>
      <w:r>
        <w:rPr>
          <w:bCs/>
          <w:sz w:val="20"/>
          <w:szCs w:val="20"/>
        </w:rPr>
        <w:t>Upravený harmonogram jednotlivých úkonů vztahujícím se k volbám do AS UP na funkční období 2020–2023:</w:t>
      </w:r>
    </w:p>
    <w:tbl>
      <w:tblPr>
        <w:tblStyle w:val="Mkatabulky"/>
        <w:tblW w:w="8330" w:type="dxa"/>
        <w:jc w:val="left"/>
        <w:tblInd w:w="0" w:type="dxa"/>
        <w:tblCellMar>
          <w:top w:w="0" w:type="dxa"/>
          <w:left w:w="108" w:type="dxa"/>
          <w:bottom w:w="0" w:type="dxa"/>
          <w:right w:w="108" w:type="dxa"/>
        </w:tblCellMar>
        <w:tblLook w:val="04a0" w:noVBand="1" w:noHBand="0" w:lastColumn="0" w:firstColumn="1" w:lastRow="0" w:firstRow="1"/>
      </w:tblPr>
      <w:tblGrid>
        <w:gridCol w:w="421"/>
        <w:gridCol w:w="6066"/>
        <w:gridCol w:w="1843"/>
      </w:tblGrid>
      <w:tr>
        <w:trPr/>
        <w:tc>
          <w:tcPr>
            <w:tcW w:w="421"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1.</w:t>
            </w:r>
          </w:p>
        </w:tc>
        <w:tc>
          <w:tcPr>
            <w:tcW w:w="6066"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Zvolení členů dílčích volebních komisí, jejich předsedů a místopředsedů</w:t>
            </w:r>
          </w:p>
        </w:tc>
        <w:tc>
          <w:tcPr>
            <w:tcW w:w="1843" w:type="dxa"/>
            <w:tcBorders/>
            <w:shd w:fill="auto" w:val="clear"/>
            <w:tcMar>
              <w:left w:w="108" w:type="dxa"/>
            </w:tcMar>
          </w:tcPr>
          <w:p>
            <w:pPr>
              <w:pStyle w:val="Normal"/>
              <w:spacing w:lineRule="auto" w:line="240" w:before="0" w:after="0"/>
              <w:jc w:val="right"/>
              <w:rPr>
                <w:rFonts w:cs="Calibri" w:cstheme="minorHAnsi"/>
                <w:bCs/>
                <w:sz w:val="20"/>
                <w:szCs w:val="20"/>
              </w:rPr>
            </w:pPr>
            <w:r>
              <w:rPr>
                <w:rFonts w:cs="Calibri" w:cstheme="minorHAnsi"/>
                <w:bCs/>
                <w:sz w:val="20"/>
                <w:szCs w:val="20"/>
              </w:rPr>
              <w:t>do 21. 2. 2020</w:t>
            </w:r>
          </w:p>
        </w:tc>
      </w:tr>
      <w:tr>
        <w:trPr/>
        <w:tc>
          <w:tcPr>
            <w:tcW w:w="421"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2.</w:t>
            </w:r>
          </w:p>
        </w:tc>
        <w:tc>
          <w:tcPr>
            <w:tcW w:w="6066"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Zveřejnění termínů a míst konání voleb na fakultách</w:t>
            </w:r>
          </w:p>
        </w:tc>
        <w:tc>
          <w:tcPr>
            <w:tcW w:w="1843" w:type="dxa"/>
            <w:tcBorders/>
            <w:shd w:fill="auto" w:val="clear"/>
            <w:tcMar>
              <w:left w:w="108" w:type="dxa"/>
            </w:tcMar>
          </w:tcPr>
          <w:p>
            <w:pPr>
              <w:pStyle w:val="Normal"/>
              <w:spacing w:lineRule="auto" w:line="240" w:before="0" w:after="0"/>
              <w:jc w:val="right"/>
              <w:rPr>
                <w:rFonts w:cs="Calibri" w:cstheme="minorHAnsi"/>
                <w:bCs/>
                <w:sz w:val="20"/>
                <w:szCs w:val="20"/>
              </w:rPr>
            </w:pPr>
            <w:r>
              <w:rPr>
                <w:rFonts w:cs="Calibri" w:cstheme="minorHAnsi"/>
                <w:bCs/>
                <w:sz w:val="20"/>
                <w:szCs w:val="20"/>
              </w:rPr>
              <w:t>do 5. 3. 2020</w:t>
            </w:r>
          </w:p>
        </w:tc>
      </w:tr>
      <w:tr>
        <w:trPr/>
        <w:tc>
          <w:tcPr>
            <w:tcW w:w="421"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3.</w:t>
            </w:r>
          </w:p>
        </w:tc>
        <w:tc>
          <w:tcPr>
            <w:tcW w:w="6066"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Návrhy kandidátů do AS UP</w:t>
            </w:r>
          </w:p>
        </w:tc>
        <w:tc>
          <w:tcPr>
            <w:tcW w:w="1843" w:type="dxa"/>
            <w:tcBorders/>
            <w:shd w:fill="auto" w:val="clear"/>
            <w:tcMar>
              <w:left w:w="108" w:type="dxa"/>
            </w:tcMar>
          </w:tcPr>
          <w:p>
            <w:pPr>
              <w:pStyle w:val="Normal"/>
              <w:spacing w:lineRule="auto" w:line="240" w:before="0" w:after="0"/>
              <w:jc w:val="right"/>
              <w:rPr>
                <w:rFonts w:cs="Calibri" w:cstheme="minorHAnsi"/>
                <w:bCs/>
                <w:sz w:val="20"/>
                <w:szCs w:val="20"/>
              </w:rPr>
            </w:pPr>
            <w:r>
              <w:rPr>
                <w:rFonts w:cs="Calibri" w:cstheme="minorHAnsi"/>
                <w:bCs/>
                <w:sz w:val="20"/>
                <w:szCs w:val="20"/>
              </w:rPr>
              <w:t>24. 2. – 5. 3. 2020</w:t>
            </w:r>
          </w:p>
        </w:tc>
      </w:tr>
      <w:tr>
        <w:trPr/>
        <w:tc>
          <w:tcPr>
            <w:tcW w:w="421"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4.</w:t>
            </w:r>
          </w:p>
        </w:tc>
        <w:tc>
          <w:tcPr>
            <w:tcW w:w="6066" w:type="dxa"/>
            <w:tcBorders/>
            <w:shd w:fill="auto" w:val="clear"/>
            <w:tcMar>
              <w:left w:w="108" w:type="dxa"/>
            </w:tcMar>
          </w:tcPr>
          <w:p>
            <w:pPr>
              <w:pStyle w:val="Normal"/>
              <w:tabs>
                <w:tab w:val="left" w:pos="5328" w:leader="none"/>
              </w:tabs>
              <w:spacing w:lineRule="auto" w:line="240" w:before="0" w:after="0"/>
              <w:rPr>
                <w:rFonts w:cs="Calibri" w:cstheme="minorHAnsi"/>
                <w:bCs/>
                <w:sz w:val="20"/>
                <w:szCs w:val="20"/>
                <w:u w:val="single"/>
              </w:rPr>
            </w:pPr>
            <w:r>
              <w:rPr>
                <w:rFonts w:cs="Calibri" w:cstheme="minorHAnsi"/>
                <w:bCs/>
                <w:sz w:val="20"/>
                <w:szCs w:val="20"/>
              </w:rPr>
              <w:t>Zveřejnění kandidátních listin, sestavení seznamů voličů a jejich předání předsedům dílčích volebních komisí</w:t>
            </w:r>
          </w:p>
        </w:tc>
        <w:tc>
          <w:tcPr>
            <w:tcW w:w="1843" w:type="dxa"/>
            <w:tcBorders/>
            <w:shd w:fill="auto" w:val="clear"/>
            <w:tcMar>
              <w:left w:w="108" w:type="dxa"/>
            </w:tcMar>
          </w:tcPr>
          <w:p>
            <w:pPr>
              <w:pStyle w:val="Normal"/>
              <w:spacing w:lineRule="auto" w:line="240" w:before="0" w:after="0"/>
              <w:jc w:val="right"/>
              <w:rPr>
                <w:rFonts w:cs="Calibri" w:cstheme="minorHAnsi"/>
                <w:bCs/>
                <w:sz w:val="20"/>
                <w:szCs w:val="20"/>
              </w:rPr>
            </w:pPr>
            <w:r>
              <w:rPr>
                <w:rFonts w:cs="Calibri" w:cstheme="minorHAnsi"/>
                <w:bCs/>
                <w:sz w:val="20"/>
                <w:szCs w:val="20"/>
              </w:rPr>
              <w:t>do 13. 3. 2020</w:t>
            </w:r>
          </w:p>
        </w:tc>
      </w:tr>
      <w:tr>
        <w:trPr/>
        <w:tc>
          <w:tcPr>
            <w:tcW w:w="421"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5.</w:t>
            </w:r>
          </w:p>
        </w:tc>
        <w:tc>
          <w:tcPr>
            <w:tcW w:w="6066"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Zahájení voleb</w:t>
            </w:r>
          </w:p>
        </w:tc>
        <w:tc>
          <w:tcPr>
            <w:tcW w:w="1843" w:type="dxa"/>
            <w:tcBorders/>
            <w:shd w:fill="auto" w:val="clear"/>
            <w:tcMar>
              <w:left w:w="108" w:type="dxa"/>
            </w:tcMar>
          </w:tcPr>
          <w:p>
            <w:pPr>
              <w:pStyle w:val="Normal"/>
              <w:spacing w:lineRule="auto" w:line="240" w:before="0" w:after="0"/>
              <w:jc w:val="right"/>
              <w:rPr>
                <w:rFonts w:cs="Calibri" w:cstheme="minorHAnsi"/>
                <w:bCs/>
                <w:sz w:val="20"/>
                <w:szCs w:val="20"/>
              </w:rPr>
            </w:pPr>
            <w:r>
              <w:rPr>
                <w:rFonts w:cs="Calibri" w:cstheme="minorHAnsi"/>
                <w:bCs/>
                <w:sz w:val="20"/>
                <w:szCs w:val="20"/>
              </w:rPr>
              <w:t>11. 5. 2020</w:t>
            </w:r>
          </w:p>
        </w:tc>
      </w:tr>
      <w:tr>
        <w:trPr/>
        <w:tc>
          <w:tcPr>
            <w:tcW w:w="421"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6.</w:t>
            </w:r>
          </w:p>
        </w:tc>
        <w:tc>
          <w:tcPr>
            <w:tcW w:w="6066"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Ukončení voleb</w:t>
            </w:r>
          </w:p>
        </w:tc>
        <w:tc>
          <w:tcPr>
            <w:tcW w:w="1843" w:type="dxa"/>
            <w:tcBorders/>
            <w:shd w:fill="auto" w:val="clear"/>
            <w:tcMar>
              <w:left w:w="108" w:type="dxa"/>
            </w:tcMar>
          </w:tcPr>
          <w:p>
            <w:pPr>
              <w:pStyle w:val="Normal"/>
              <w:spacing w:lineRule="auto" w:line="240" w:before="0" w:after="0"/>
              <w:jc w:val="right"/>
              <w:rPr>
                <w:rFonts w:cs="Calibri" w:cstheme="minorHAnsi"/>
                <w:bCs/>
                <w:sz w:val="20"/>
                <w:szCs w:val="20"/>
              </w:rPr>
            </w:pPr>
            <w:r>
              <w:rPr>
                <w:rFonts w:cs="Calibri" w:cstheme="minorHAnsi"/>
                <w:bCs/>
                <w:sz w:val="20"/>
                <w:szCs w:val="20"/>
              </w:rPr>
              <w:t>22. 5. 2020</w:t>
            </w:r>
          </w:p>
        </w:tc>
      </w:tr>
      <w:tr>
        <w:trPr/>
        <w:tc>
          <w:tcPr>
            <w:tcW w:w="421"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7.</w:t>
            </w:r>
          </w:p>
        </w:tc>
        <w:tc>
          <w:tcPr>
            <w:tcW w:w="6066"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Vyhlášení výsledků voleb</w:t>
            </w:r>
          </w:p>
        </w:tc>
        <w:tc>
          <w:tcPr>
            <w:tcW w:w="1843" w:type="dxa"/>
            <w:tcBorders/>
            <w:shd w:fill="auto" w:val="clear"/>
            <w:tcMar>
              <w:left w:w="108" w:type="dxa"/>
            </w:tcMar>
          </w:tcPr>
          <w:p>
            <w:pPr>
              <w:pStyle w:val="Normal"/>
              <w:spacing w:lineRule="auto" w:line="240" w:before="0" w:after="0"/>
              <w:jc w:val="right"/>
              <w:rPr>
                <w:rFonts w:cs="Calibri" w:cstheme="minorHAnsi"/>
                <w:bCs/>
                <w:sz w:val="20"/>
                <w:szCs w:val="20"/>
              </w:rPr>
            </w:pPr>
            <w:r>
              <w:rPr>
                <w:rFonts w:cs="Calibri" w:cstheme="minorHAnsi"/>
                <w:bCs/>
                <w:sz w:val="20"/>
                <w:szCs w:val="20"/>
              </w:rPr>
              <w:t>do 26. 5. 2020</w:t>
            </w:r>
          </w:p>
        </w:tc>
      </w:tr>
      <w:tr>
        <w:trPr/>
        <w:tc>
          <w:tcPr>
            <w:tcW w:w="421"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8.</w:t>
            </w:r>
          </w:p>
        </w:tc>
        <w:tc>
          <w:tcPr>
            <w:tcW w:w="6066"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Lhůta pro podávání stížností na průběh voleb</w:t>
            </w:r>
          </w:p>
        </w:tc>
        <w:tc>
          <w:tcPr>
            <w:tcW w:w="1843" w:type="dxa"/>
            <w:tcBorders/>
            <w:shd w:fill="auto" w:val="clear"/>
            <w:tcMar>
              <w:left w:w="108" w:type="dxa"/>
            </w:tcMar>
          </w:tcPr>
          <w:p>
            <w:pPr>
              <w:pStyle w:val="Normal"/>
              <w:spacing w:lineRule="auto" w:line="240" w:before="0" w:after="0"/>
              <w:jc w:val="right"/>
              <w:rPr>
                <w:rFonts w:cs="Calibri" w:cstheme="minorHAnsi"/>
                <w:bCs/>
                <w:sz w:val="20"/>
                <w:szCs w:val="20"/>
              </w:rPr>
            </w:pPr>
            <w:r>
              <w:rPr>
                <w:rFonts w:cs="Calibri" w:cstheme="minorHAnsi"/>
                <w:bCs/>
                <w:sz w:val="20"/>
                <w:szCs w:val="20"/>
              </w:rPr>
              <w:t>do 28. 5. 2020</w:t>
            </w:r>
          </w:p>
        </w:tc>
      </w:tr>
      <w:tr>
        <w:trPr/>
        <w:tc>
          <w:tcPr>
            <w:tcW w:w="421"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9.</w:t>
            </w:r>
          </w:p>
        </w:tc>
        <w:tc>
          <w:tcPr>
            <w:tcW w:w="6066" w:type="dxa"/>
            <w:tcBorders/>
            <w:shd w:fill="auto" w:val="clear"/>
            <w:tcMar>
              <w:left w:w="108" w:type="dxa"/>
            </w:tcMar>
          </w:tcPr>
          <w:p>
            <w:pPr>
              <w:pStyle w:val="Normal"/>
              <w:spacing w:lineRule="auto" w:line="240" w:before="0" w:after="0"/>
              <w:rPr>
                <w:rFonts w:cs="Calibri" w:cstheme="minorHAnsi"/>
                <w:bCs/>
                <w:sz w:val="20"/>
                <w:szCs w:val="20"/>
              </w:rPr>
            </w:pPr>
            <w:r>
              <w:rPr>
                <w:rFonts w:cs="Calibri" w:cstheme="minorHAnsi"/>
                <w:bCs/>
                <w:sz w:val="20"/>
                <w:szCs w:val="20"/>
              </w:rPr>
              <w:t>Termín pro případné opakování voleb</w:t>
            </w:r>
          </w:p>
        </w:tc>
        <w:tc>
          <w:tcPr>
            <w:tcW w:w="1843" w:type="dxa"/>
            <w:tcBorders/>
            <w:shd w:fill="auto" w:val="clear"/>
            <w:tcMar>
              <w:left w:w="108" w:type="dxa"/>
            </w:tcMar>
          </w:tcPr>
          <w:p>
            <w:pPr>
              <w:pStyle w:val="Normal"/>
              <w:spacing w:lineRule="auto" w:line="240" w:before="0" w:after="0"/>
              <w:jc w:val="right"/>
              <w:rPr>
                <w:rFonts w:cs="Calibri" w:cstheme="minorHAnsi"/>
                <w:bCs/>
                <w:sz w:val="20"/>
                <w:szCs w:val="20"/>
              </w:rPr>
            </w:pPr>
            <w:r>
              <w:rPr>
                <w:rFonts w:cs="Calibri" w:cstheme="minorHAnsi"/>
                <w:bCs/>
                <w:sz w:val="20"/>
                <w:szCs w:val="20"/>
              </w:rPr>
              <w:t>do 12. 6. 2020</w:t>
            </w:r>
          </w:p>
        </w:tc>
      </w:tr>
    </w:tbl>
    <w:p>
      <w:pPr>
        <w:pStyle w:val="Normal"/>
        <w:spacing w:lineRule="auto" w:line="240" w:before="0" w:after="0"/>
        <w:jc w:val="both"/>
        <w:rPr>
          <w:bCs/>
          <w:sz w:val="20"/>
          <w:szCs w:val="20"/>
        </w:rPr>
      </w:pPr>
      <w:r>
        <w:rPr>
          <w:bCs/>
          <w:sz w:val="20"/>
          <w:szCs w:val="20"/>
        </w:rPr>
      </w:r>
    </w:p>
    <w:p>
      <w:pPr>
        <w:pStyle w:val="Normal"/>
        <w:spacing w:lineRule="auto" w:line="240" w:before="0" w:after="0"/>
        <w:jc w:val="both"/>
        <w:rPr>
          <w:bCs/>
          <w:sz w:val="20"/>
          <w:szCs w:val="20"/>
        </w:rPr>
      </w:pPr>
      <w:r>
        <w:rPr>
          <w:bCs/>
          <w:sz w:val="20"/>
          <w:szCs w:val="20"/>
        </w:rPr>
        <w:t>Výše uvedenou změnou harmonogramu voleb se ruší původní termíny konání voleb do AS UP na jednotlivých fakultách. AS UP vyzývá akademické senáty fakult, aby nejpozději do 24. 4. 2020 podle čl. 2 odst. 6 Volebního řádu AS UP stanovily termíny hlasování (tj. lokalizace volebních místností, hodin zahájení a ukončení hlasování pro každý den voleb a každou volební místnost zvlášť) tak, aby součet dob, po které jsou volební místnosti na dané fakultě otevřeny, nebyl nižší než šestnáct hodin.</w:t>
      </w:r>
    </w:p>
    <w:p>
      <w:pPr>
        <w:pStyle w:val="Normal"/>
        <w:spacing w:lineRule="auto" w:line="240" w:before="0" w:after="0"/>
        <w:jc w:val="both"/>
        <w:rPr>
          <w:bCs/>
          <w:sz w:val="20"/>
          <w:szCs w:val="20"/>
        </w:rPr>
      </w:pPr>
      <w:r>
        <w:rPr>
          <w:bCs/>
          <w:sz w:val="20"/>
          <w:szCs w:val="20"/>
        </w:rPr>
      </w:r>
    </w:p>
    <w:p>
      <w:pPr>
        <w:pStyle w:val="Normal"/>
        <w:spacing w:lineRule="auto" w:line="240" w:before="0" w:after="0"/>
        <w:jc w:val="both"/>
        <w:rPr>
          <w:bCs/>
          <w:sz w:val="20"/>
          <w:szCs w:val="20"/>
        </w:rPr>
      </w:pPr>
      <w:r>
        <w:rPr>
          <w:bCs/>
          <w:sz w:val="20"/>
          <w:szCs w:val="20"/>
        </w:rPr>
        <w:t>AS UP rovněž upozorňuje, že v případě pokračování mimořádných opatření, jejichž důsledkem by bylo znemožnění akademické obci účastnit se voleb, bude nucen přistoupit k opětovné změně harmonogramu konání voleb nebo ke změně formy voleb.</w:t>
      </w:r>
    </w:p>
    <w:p>
      <w:pPr>
        <w:pStyle w:val="Normal"/>
        <w:spacing w:lineRule="auto" w:line="240" w:before="0" w:after="0"/>
        <w:jc w:val="both"/>
        <w:rPr>
          <w:bCs/>
          <w:sz w:val="20"/>
          <w:szCs w:val="20"/>
        </w:rPr>
      </w:pPr>
      <w:r>
        <w:rPr>
          <w:bCs/>
          <w:sz w:val="20"/>
          <w:szCs w:val="20"/>
        </w:rPr>
      </w:r>
    </w:p>
    <w:p>
      <w:pPr>
        <w:pStyle w:val="Normal"/>
        <w:widowControl/>
        <w:bidi w:val="0"/>
        <w:spacing w:lineRule="auto" w:line="259" w:before="0" w:after="160"/>
        <w:jc w:val="left"/>
        <w:rPr/>
      </w:pPr>
      <w:r>
        <w:rPr/>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cs-CZ" w:eastAsia="en-US" w:bidi="ar-SA"/>
    </w:rPr>
  </w:style>
  <w:style w:type="character" w:styleId="DefaultParagraphFont" w:default="1">
    <w:name w:val="Default Paragraph Font"/>
    <w:uiPriority w:val="1"/>
    <w:semiHidden/>
    <w:unhideWhenUsed/>
    <w:qFormat/>
    <w:rPr/>
  </w:style>
  <w:style w:type="character" w:styleId="TextkomenteChar" w:customStyle="1">
    <w:name w:val="Text komentáře Char"/>
    <w:basedOn w:val="DefaultParagraphFont"/>
    <w:link w:val="Textkomente"/>
    <w:uiPriority w:val="99"/>
    <w:qFormat/>
    <w:rsid w:val="000577cc"/>
    <w:rPr>
      <w:sz w:val="20"/>
      <w:szCs w:val="20"/>
    </w:rPr>
  </w:style>
  <w:style w:type="paragraph" w:styleId="Nadpis">
    <w:name w:val="Nadpis"/>
    <w:basedOn w:val="Normal"/>
    <w:next w:val="Tlotextu"/>
    <w:qFormat/>
    <w:pPr>
      <w:keepNext/>
      <w:spacing w:before="240" w:after="120"/>
    </w:pPr>
    <w:rPr>
      <w:rFonts w:ascii="Liberation Sans" w:hAnsi="Liberation Sans" w:eastAsia="WenQuanYi Micro Hei" w:cs="Lohit Devanagari"/>
      <w:sz w:val="28"/>
      <w:szCs w:val="28"/>
    </w:rPr>
  </w:style>
  <w:style w:type="paragraph" w:styleId="Tlotextu">
    <w:name w:val="Body Text"/>
    <w:basedOn w:val="Normal"/>
    <w:pPr>
      <w:spacing w:lineRule="auto" w:line="288" w:before="0" w:after="140"/>
    </w:pPr>
    <w:rPr/>
  </w:style>
  <w:style w:type="paragraph" w:styleId="Seznam">
    <w:name w:val="List"/>
    <w:basedOn w:val="Tlotextu"/>
    <w:pPr/>
    <w:rPr>
      <w:rFonts w:cs="Lohit Devanagari"/>
    </w:rPr>
  </w:style>
  <w:style w:type="paragraph" w:styleId="Popisek">
    <w:name w:val="Caption"/>
    <w:basedOn w:val="Normal"/>
    <w:qFormat/>
    <w:pPr>
      <w:suppressLineNumbers/>
      <w:spacing w:before="120" w:after="120"/>
    </w:pPr>
    <w:rPr>
      <w:rFonts w:cs="Lohit Devanagari"/>
      <w:i/>
      <w:iCs/>
      <w:sz w:val="24"/>
      <w:szCs w:val="24"/>
    </w:rPr>
  </w:style>
  <w:style w:type="paragraph" w:styleId="Rejstk">
    <w:name w:val="Rejstřík"/>
    <w:basedOn w:val="Normal"/>
    <w:qFormat/>
    <w:pPr>
      <w:suppressLineNumbers/>
    </w:pPr>
    <w:rPr>
      <w:rFonts w:cs="Lohit Devanagari"/>
    </w:rPr>
  </w:style>
  <w:style w:type="paragraph" w:styleId="Annotationtext">
    <w:name w:val="annotation text"/>
    <w:basedOn w:val="Normal"/>
    <w:link w:val="TextkomenteChar"/>
    <w:uiPriority w:val="99"/>
    <w:unhideWhenUsed/>
    <w:qFormat/>
    <w:rsid w:val="000577cc"/>
    <w:pPr>
      <w:spacing w:lineRule="auto" w:line="240"/>
    </w:pPr>
    <w:rPr>
      <w:sz w:val="20"/>
      <w:szCs w:val="20"/>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table" w:styleId="Mkatabulky">
    <w:name w:val="Table Grid"/>
    <w:basedOn w:val="Normlntabulka"/>
    <w:uiPriority w:val="39"/>
    <w:rsid w:val="000577c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Application>LibreOffice/5.1.6.2$Linux_X86_64 LibreOffice_project/10m0$Build-2</Application>
  <Pages>2</Pages>
  <Words>557</Words>
  <CharactersWithSpaces>3292</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2020-03-18T20:34:00Z</dcterms:created>
  <dc:creator>Jiri Langer</dc:creator>
  <dc:description/>
  <dc:language>en-US</dc:language>
  <cp:lastModifiedBy>Jiri Langer</cp:lastModifiedBy>
  <dcterms:modified xsi:type="dcterms:W3CDTF">2020-03-18T20:42:00Z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