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8"/>
          <w:szCs w:val="28"/>
        </w:rPr>
        <w:t>Vnitřní norma UP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Pravidla odpovědného veřejného zadávání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Univerzity Palackého v Olomouci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b/>
          <w:bCs/>
          <w:sz w:val="24"/>
          <w:szCs w:val="24"/>
        </w:rPr>
        <w:t>(dále jen „Pravidla“)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Garant: vedoucí Oddělení veřejných zakázek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PREAMBULE</w:t>
      </w:r>
    </w:p>
    <w:p>
      <w:pPr>
        <w:pStyle w:val="Normal"/>
        <w:jc w:val="both"/>
        <w:rPr/>
      </w:pPr>
      <w:r>
        <w:rPr/>
        <w:t>Univerzita Palackého v Olomouci (dále jen „UPOL“) při pořizování stavebních prací, dodávek a služeb hospodaří s veřejnými prostředky a patří mezi povinné subjekty – zadavatele v režimu zákona č. 134/2016 Sb., o zadávání veřejných zakázek, ve znění pozdějších předpisů (dále jen „zákon‟).  Primárně se UPOL při zadávání veřejných zakázek řídí vnitřní normou č. R-B-20/28.</w:t>
      </w:r>
    </w:p>
    <w:p>
      <w:pPr>
        <w:pStyle w:val="Normal"/>
        <w:jc w:val="both"/>
        <w:rPr/>
      </w:pPr>
      <w:r>
        <w:rPr/>
        <w:t xml:space="preserve">UPOL při uplatňování strategického a odpovědného přístupu k veřejným zakázkám vychází z legislativního rámce daného na evropské úrovni zejména směrnicí Evropského parlamentu a Rady č. 2014/24/EU o zadávání veřejných zakázek a na národní úrovni také přiměřeně usnesením vlády České republiky č. 531/2017 o Pravidlech uplatňování odpovědného přístupu při zadávání veřejných zakázek a nákupech státní správy a samosprávy. </w:t>
      </w:r>
    </w:p>
    <w:p>
      <w:pPr>
        <w:pStyle w:val="Normal"/>
        <w:jc w:val="both"/>
        <w:rPr/>
      </w:pPr>
      <w:r>
        <w:rPr/>
        <w:t>Dle zákona je zadavatelům uložena povinnost v § 6 odst. 4 zákona zohlednit při vytváření zadávacích podmínek, hodnocení nabídek a výběru dodavatele, za předpokladu, že to bude vzhledem k povaze a smyslu VZ možné, dodržování zásady sociálně odpovědného zadávání, environmentálně odpovědného zadávání a inovací ve smyslu tohoto zákona (dále jen „společensky odpovědné zadávání‟ nebo „SOZVZ“). Svůj postup je zadavatel povinen řádně odůvodnit. Tyto podmínky se vztahují i na zakázky malého rozsahu mimo režim zákona.</w:t>
      </w:r>
    </w:p>
    <w:p>
      <w:pPr>
        <w:pStyle w:val="Normal"/>
        <w:jc w:val="both"/>
        <w:rPr/>
      </w:pPr>
      <w:r>
        <w:rPr/>
        <w:t>SOZVZ je postup zadávání veřejných zakázek (dále též „VZ“), který zohledňuje jedno nebo více z těchto sociálních hledisek: pracovní příležitosti, důstojné pracovní podmínky, dodržování sociálních a pracovních práv, sociální začlenění (včetně zdravotně postižených osob), rovné příležitosti, přístupnost, uzpůsobení podmínek pro všechny, zohlednění kritérií trvale udržitelného rozvoje včetně otázek etického obchodu a širší dobrovolné dodržování sociální odpovědnosti dodavatelů při současném dodržování zásad zakotvených ve Smlouvě o fungování EU a směrnicích o veřejných zakázkách.</w:t>
      </w:r>
    </w:p>
    <w:p>
      <w:pPr>
        <w:pStyle w:val="Normal"/>
        <w:jc w:val="both"/>
        <w:rPr/>
      </w:pPr>
      <w:r>
        <w:rPr/>
        <w:t>K naplňování uvedených priorit jsou stanoveny těmito Pravidly cíle a úkoly, které budou pravidelně vyhodnocovány.</w:t>
      </w:r>
    </w:p>
    <w:p>
      <w:pPr>
        <w:pStyle w:val="Normal"/>
        <w:jc w:val="both"/>
        <w:rPr/>
      </w:pPr>
      <w:r>
        <w:rPr/>
        <w:t>Cílem UPOL je i podpora spravedlivého obchodu („fair trade“), charakterizovaného těmito základními znaky: - zlepšení životních podmínek producentů, zlepšení jejich přístupu na trh, posílení organizací výrobců, poskytnutí spravedlivých cen za výrobky a zajištění kontinuity obchodních vztahů - rozvíjení příležitostí pro znevýhodněné výrobce, zvláště domorodé obyvatele a ženy, ochrana dětí před zneužíváním v procesu výroby - zvyšování informovanosti spotřebitelů o negativním vlivu mezinárodního obchodu na výrobce tak, aby svou kupní sílu mohli využívat pozitivním způsobem - poskytování příkladu obchodního partnerství skrze vzájemný dialog, respekt a transparentnost - přispívání ke kampaním za změnu pravidel konvenčního mezinárodního obchodu - ochrana lidských práv podporou rozvoje sociální spravedlnosti, environmentálně přijatelného chování a ekonomického zabezpečení.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APLIKACE PRAVIDEL</w:t>
      </w:r>
    </w:p>
    <w:p>
      <w:pPr>
        <w:pStyle w:val="Normal"/>
        <w:jc w:val="both"/>
        <w:rPr/>
      </w:pPr>
      <w:r>
        <w:rPr/>
        <w:t>Aplikace těchto zásad naplňuje cíle stanovené ve Strategii UP pro udržitelný rozvoj na roky 2021+, ve kterém se univerzita zavazuje tyto zásady uplatňovat. Níže uvedená pravidla, při vytváření zadávacích podmínek nebo hodnocení nabídek a výběru dodavatele, platí pro pořízení stavebních prací, dodávek a služeb s hodnotou min. 500 tisíc Kč bez DPH, v ostatních případech je vždy nutné dodržet zákon. V odůvodněných případech je kvestor UP v Olomouci či pověřený prorektor  oprávněn udělit výjimku. Oddělení veřejných zakázek UP v Olomouci (dále jen „OVZ“) garantuje, že v konkrétních případech u VZ realizovaných prostřednictvím OVZ, budou v maximálně možné míře zohledněny i další zde neuvedené možnosti dosáhnutí naplnění podmínek § 6 odst. 4 zákona, s přihlédnutím k hospodárnému nakládání s veřejnými prostředky.</w:t>
      </w:r>
    </w:p>
    <w:p>
      <w:pPr>
        <w:pStyle w:val="Normal"/>
        <w:jc w:val="both"/>
        <w:rPr/>
      </w:pPr>
      <w:r>
        <w:rPr/>
        <w:t>Ke každé VZ v hodnotě nad 250 tisíc Kč bez DPH je příkazce operace současně povinen vypracovat tzv. Kontrolní list pro vyhodnocení sociálního a environmentálního odpovědného zadávání a inovací ve veřejné zakázce, který tvoří nedílnou součást těchto Pravidel</w:t>
      </w:r>
      <w:bookmarkStart w:id="0" w:name="_GoBack"/>
      <w:bookmarkEnd w:id="0"/>
      <w:r>
        <w:rPr/>
        <w:t xml:space="preserve"> jako jeho příloha č. 1.</w:t>
      </w:r>
    </w:p>
    <w:p>
      <w:pPr>
        <w:pStyle w:val="Normal"/>
        <w:jc w:val="both"/>
        <w:rPr>
          <w:b/>
          <w:b/>
          <w:i/>
          <w:i/>
        </w:rPr>
      </w:pPr>
      <w:r>
        <w:rPr/>
        <w:t>I.</w:t>
        <w:tab/>
      </w:r>
      <w:r>
        <w:rPr>
          <w:b/>
          <w:i/>
        </w:rPr>
        <w:t>OBECNÉ PODMÍNKY</w:t>
      </w:r>
    </w:p>
    <w:p>
      <w:pPr>
        <w:pStyle w:val="Normal"/>
        <w:jc w:val="both"/>
        <w:rPr/>
      </w:pPr>
      <w:r>
        <w:rPr/>
        <w:t xml:space="preserve">Uvedených záměrů bude UPOL v rámci procesu zadávání veřejných zakázek dosahovat prostřednictvím následujících opatření obecné povahy: </w:t>
      </w:r>
    </w:p>
    <w:p>
      <w:pPr>
        <w:pStyle w:val="Normal"/>
        <w:jc w:val="both"/>
        <w:rPr/>
      </w:pPr>
      <w:r>
        <w:rPr/>
        <w:t>- všechny své VZ analyzovat co do možností výzkumu a vývoje v oboru, zejména v oblasti měření dopadů veřejných nákupů na životní prostředí a společnost; průběžný monitoring a evaluace</w:t>
      </w:r>
    </w:p>
    <w:p>
      <w:pPr>
        <w:pStyle w:val="Normal"/>
        <w:jc w:val="both"/>
        <w:rPr/>
      </w:pPr>
      <w:r>
        <w:rPr/>
        <w:t>- v případě centrálních nákupů vždy analyzovat situaci na trhu a v nákupech preferovat ekologicky šetrné varianty, lokální a sezónní výrobky, podpora lokálních a českých firem, čisté přírodní/recyklované materiály</w:t>
      </w:r>
    </w:p>
    <w:p>
      <w:pPr>
        <w:pStyle w:val="Normal"/>
        <w:jc w:val="both"/>
        <w:rPr/>
      </w:pPr>
      <w:r>
        <w:rPr/>
        <w:t xml:space="preserve">- při zajišťování nákupů využívat produkty maximálně šetrné k životnímu prostředí </w:t>
      </w:r>
    </w:p>
    <w:p>
      <w:pPr>
        <w:pStyle w:val="Normal"/>
        <w:jc w:val="both"/>
        <w:rPr/>
      </w:pPr>
      <w:r>
        <w:rPr/>
        <w:t>- v případě pořizování propagačních předmětů jsou preferovány ekologicky šetrné varianty, lokální a sezónní výrobky, podpora lokálních a českých firem, čisté přírodní/recyklované materiály</w:t>
      </w:r>
    </w:p>
    <w:p>
      <w:pPr>
        <w:pStyle w:val="Normal"/>
        <w:jc w:val="both"/>
        <w:rPr/>
      </w:pPr>
      <w:r>
        <w:rPr/>
        <w:t xml:space="preserve">- zvažovat možnosti aplikace principů nákladů životního cyklu </w:t>
      </w:r>
    </w:p>
    <w:p>
      <w:pPr>
        <w:pStyle w:val="Normal"/>
        <w:jc w:val="both"/>
        <w:rPr/>
      </w:pPr>
      <w:r>
        <w:rPr/>
        <w:t>- zvažovat dopady vlastní činnosti na primární zdroje materiálů, možnosti využití zdrojů sekundárních, produkci, třídění a opětovnou využitelnost odpadů, dopadů nákupů na produkci skleníkových plynů a podporu modelů oběhového hospodářství.</w:t>
      </w:r>
    </w:p>
    <w:p>
      <w:pPr>
        <w:pStyle w:val="Normal"/>
        <w:jc w:val="both"/>
        <w:rPr/>
      </w:pPr>
      <w:r>
        <w:rPr/>
        <w:t>- bude dodržovat nejvyšší standardy integrity a profesionality při svých obchodních jednáních</w:t>
      </w:r>
    </w:p>
    <w:p>
      <w:pPr>
        <w:pStyle w:val="Normal"/>
        <w:jc w:val="both"/>
        <w:rPr/>
      </w:pPr>
      <w:r>
        <w:rPr/>
        <w:t xml:space="preserve">- při výběru dodavatele bude používat takové procesní prostředky, které v maximální míře zajistí, aby byli vybráni zásadně takoví dodavatelé, kteří: </w:t>
      </w:r>
    </w:p>
    <w:p>
      <w:pPr>
        <w:pStyle w:val="Normal"/>
        <w:ind w:firstLine="708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>dodržují při svých obchodních jednáních nejvyšší standardy integrity a profesionality,</w:t>
      </w:r>
    </w:p>
    <w:p>
      <w:pPr>
        <w:pStyle w:val="Normal"/>
        <w:ind w:firstLine="708"/>
        <w:jc w:val="both"/>
        <w:rPr/>
      </w:pPr>
      <w:r>
        <w:rPr/>
        <w:t xml:space="preserve"> </w:t>
      </w: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 xml:space="preserve">dodržují zákony zemí, ve které působí, </w:t>
      </w:r>
    </w:p>
    <w:p>
      <w:pPr>
        <w:pStyle w:val="Normal"/>
        <w:ind w:left="708" w:hanging="0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>dodržují v rámci svých obchodních a pracovních vztahů důstojné pracovní podmínky, a totéž při svých nákupech vyžadují od svých poddodavatelů</w:t>
      </w:r>
    </w:p>
    <w:p>
      <w:pPr>
        <w:pStyle w:val="Normal"/>
        <w:ind w:left="708" w:firstLine="45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>budou vybráni na základě zadávacího či výběrového řízení v souladu se zákonem či vnitřními předpisy UPOL</w:t>
      </w:r>
    </w:p>
    <w:p>
      <w:pPr>
        <w:pStyle w:val="Normal"/>
        <w:jc w:val="both"/>
        <w:rPr/>
      </w:pPr>
      <w:r>
        <w:rPr/>
        <w:t xml:space="preserve">- tam, kde to bude smysluplné a relevantní, bude UPOL v rámci dodržování důstojných pracovních podmínek: </w:t>
      </w:r>
    </w:p>
    <w:p>
      <w:pPr>
        <w:pStyle w:val="Normal"/>
        <w:ind w:left="708" w:hanging="0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 xml:space="preserve">požadovat na svých dodavatelích oznámení v případě jakýchkoli pochybností o jejich dodržování, </w:t>
      </w:r>
    </w:p>
    <w:p>
      <w:pPr>
        <w:pStyle w:val="Normal"/>
        <w:ind w:left="708" w:hanging="0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 xml:space="preserve">požadovat na svých dodavatelích zprávy o dodržování důstojných pracovních podmínek u sebe a ve svém dodavatelském řetězci, </w:t>
      </w:r>
    </w:p>
    <w:p>
      <w:pPr>
        <w:pStyle w:val="Normal"/>
        <w:ind w:left="708" w:hanging="0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 xml:space="preserve">včleňovat do smluv vhodné indikátory a nástroje měření, které povedou k tomu, že budou důstojné pracovní podmínky standardně dodržovány, </w:t>
      </w:r>
    </w:p>
    <w:p>
      <w:pPr>
        <w:pStyle w:val="Normal"/>
        <w:ind w:left="708" w:hanging="0"/>
        <w:jc w:val="both"/>
        <w:rPr/>
      </w:pPr>
      <w:r>
        <w:rPr>
          <w:rFonts w:eastAsia="Symbol" w:cs="Symbol" w:ascii="Symbol" w:hAnsi="Symbol"/>
        </w:rPr>
        <w:t></w:t>
      </w:r>
      <w:r>
        <w:rPr/>
        <w:t xml:space="preserve"> </w:t>
      </w:r>
      <w:r>
        <w:rPr/>
        <w:t>zajišťovat ve smlouvách uzavíraných s dodavateli možnost zjednání nápravy i možnost UPOL ukončit smlouvu s dodavatelem, pokud se ukáže, že tento nebo kterýkoliv z jeho poddodavatelů nebo jiných participantů na jeho dodavatelském řetězci důstojné pracovní podmínky porušil.</w:t>
      </w:r>
    </w:p>
    <w:p>
      <w:pPr>
        <w:pStyle w:val="Normal"/>
        <w:jc w:val="both"/>
        <w:rPr/>
      </w:pPr>
      <w:r>
        <w:rPr/>
        <w:t>-  zvýšit přístup k VZ i těm dodavatelům, kteří mají k VZ obecně přístup ztížený, tj. malým podnikům, sociálním podnikům, zaměstnavatelům osob se zdravotním postižením, neboť právě tento segment trhu otevírá široký prostor pro podporu zaměstnanosti osob znevýhodněných na trhu práce a pro podporu sociálního začleňování.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 xml:space="preserve">II. </w:t>
        <w:tab/>
        <w:t>KONKRÉTNÍ POKYNY VEDOUCÍ K REALIZACI STRATEGICKÝCH CÍLŮ</w:t>
      </w:r>
    </w:p>
    <w:p>
      <w:pPr>
        <w:pStyle w:val="ListParagraph"/>
        <w:numPr>
          <w:ilvl w:val="0"/>
          <w:numId w:val="4"/>
        </w:numPr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Obchodní podmínky</w:t>
      </w:r>
    </w:p>
    <w:p>
      <w:pPr>
        <w:pStyle w:val="Normal"/>
        <w:jc w:val="both"/>
        <w:rPr/>
      </w:pPr>
      <w:r>
        <w:rPr/>
        <w:t xml:space="preserve">Po vybraném dodavateli vyžadovat, aby při plnění předmětu veřejné zakázky zajistil dodržování pracovně-právních předpisů (zákoník práce a zákon o zaměstnanosti) a z nich vyplývajících povinností zejména ve vztahu k 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podílet. Současně vyžadovat řádné a včasné plnění finančních závazků vůči všem účastníkům dodavatelského řetězce podílejícím se na plnění veřejné zakázky. </w:t>
      </w:r>
    </w:p>
    <w:p>
      <w:pPr>
        <w:pStyle w:val="Normal"/>
        <w:jc w:val="both"/>
        <w:rPr/>
      </w:pPr>
      <w:r>
        <w:rPr/>
        <w:t xml:space="preserve">Do všech uzavíraných smluv bude vždy implementováno následující: 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Dodavatel zajistí řádné a včasné plnění finančních závazků svým poddodavatelům, kdy za řádné a včasné plnění se považuje plné uhrazení poddodavatelem vystavených faktur za plnění poskytnutá prodávajícímu k provedení závazků vyplývajících ze smlouvy, a to vždy nejpozději do 15 dnů od obdržení platby ze strany kupujícího/objednatele za konkrétní plnění (pokud již splatnost poddodavatelem vystavené faktury nenastala dříve). Dodavatel se zavazuje přenést totožnou povinnost do dalších úrovní dodavatelského řetězce a zavázat své poddodavatele k plnění a šíření této povinnosti též do nižších úrovní dodavatelského řetězce. Kupující/objednatel je oprávněn požadovat předložení dokladů o provedených platbách poddodavatelům a smlouvy uzavřené mezi dodavatelem a poddodavateli. Nesplnění povinností dodavatele dle tohoto ujednání smlouvy se považuje za podstatné porušení smlouvy s možností odstoupení kupujícím/objednatelem od této smlouvy. Odstoupení od této smlouvy je v takovém případě účinné doručením písemného oznámení o odstoupení od smlouvy druhé smluvní straně.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Dodavatel se zavazuje zajistit v rámci plnění této smlouvy legální zaměstnávání osob a zajistí pracovníkům podílejícím se na plnění smlouvy férové a důstojné pracovní podmínky. Férovými a důstojnými pracovními podmínkami se rozumí takové pracovní podmínky, které splňují alespoň minimální standardy stanovené pracovněprávními a mzdovými předpisy. Dodavatel je povinen zajistit splnění požadavků tohoto ustanovení smlouvy i u svých subdodavatelů. Nesplnění povinností dodavatele dle tohoto ujednání smlouvy se považuje za podstatné porušení smlouvy s možností odstoupení kupujícím/objednatelem od této smlouvy. Odstoupení od této smlouvy je v takovém případě účinné doručením písemného oznámení o odstoupení od smlouvy druhé smluvní straně.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jc w:val="both"/>
        <w:rPr>
          <w:b/>
          <w:b/>
          <w:bCs/>
        </w:rPr>
      </w:pPr>
      <w:r>
        <w:rPr>
          <w:b/>
          <w:bCs/>
        </w:rPr>
        <w:t>Nákup silničních vozidel (vyjma zemědělské techniky)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V návaznosti na Směrnici Evropského parlamentu a Rady 2009/33/ES  ze dne 23. dubna 2009 o podpoře čistých silničních vozidel na podporu nízkoemisní mobility a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Směrnici Evropského parlamentu a Rady (EU) 2019/1161 ze dne 20. června 2019, kterou se mění směrnice 2009/33/ES o podpoře čistých a energeticky účinných silničních vozidel platí pořizovat (včetně leasingu) nebo pronajímat pouze nízkoemisní vozidla.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Nízkoemisním vozidlem se pro účely těchto pravidel rozumí: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a) silniční vozidlo kategorie M1, M2 nebo N1, které nepřesahuje emisní limit CO2 ve výši 50 g/km a 80 % emisních limitů pro látky znečišťující ovzduší v reálném provozu,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b) silniční vozidlo kategorie N2 nebo N3 nebo silniční vozidlo třídy I kategorie M3 anebo třídy A kategorie M3 využívající alternativní palivo podle § 2 písm. b) zákona o pohonných hmotách s výjimkou paliva s vysokým rizikem nepřímé změny ve využívání půdy vyráběného ze surovin, u nichž je zjištěno značné rozšíření oblasti produkce na půdu s velkou zásobou uhlíku v souladu s integrovaným vnitrostátním plánem v oblasti energetiky a klimatu podle přímo použitelného předpisu Evropské unie upravujícího správu energetické unie schváleným podle zákona o podporovaných zdrojích energie; jde-li o vozidlo využívající tekuté biopalivo nebo syntetické či parafinické palivo, nesmí být smícháno s konvečním fosilním palivem.</w:t>
      </w:r>
    </w:p>
    <w:p>
      <w:pPr>
        <w:pStyle w:val="Footnotetext"/>
        <w:jc w:val="both"/>
        <w:rPr/>
      </w:pPr>
      <w:r>
        <w:rPr/>
      </w:r>
    </w:p>
    <w:p>
      <w:pPr>
        <w:pStyle w:val="Footnotetext"/>
        <w:numPr>
          <w:ilvl w:val="0"/>
          <w:numId w:val="4"/>
        </w:numPr>
        <w:jc w:val="both"/>
        <w:rPr>
          <w:b/>
          <w:b/>
          <w:bCs/>
        </w:rPr>
      </w:pPr>
      <w:r>
        <w:rPr>
          <w:b/>
          <w:bCs/>
        </w:rPr>
        <w:t>Nákup běžných čisticích prostředků</w:t>
      </w:r>
    </w:p>
    <w:p>
      <w:pPr>
        <w:pStyle w:val="Footnotetext"/>
        <w:ind w:left="72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Cílem je zvýšit podíl produktů s ekoznačkou nebo ekvivalentními vlastnostmi na celkovém nákupu a na objemu čisticích prostředků používaných úklidovými službami a snížit objem odpadů – zejména omezit množství obalů používáním koncentrovaných produktů.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V celkovém množství čisticích prostředků (univerzálních prostředků a čisticích prostředků na WC) dosáhnout 60% podílu produktů odpovídajících alespoň těchto podmínek: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koncentráty – kde je to možné, požadovat koncentrované výrobky ředitelné vodou před použitím, a to s pomocí odměrek nebo dávkovačů určených/dodávaných výrobcem;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−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účinnost při nízkých teplotách (15-30°C) - detergenty musí být účinné i při nízkých teplotách, aby se snížilo množství energie potřebné na ohřev vody;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biologická rozložitelnost: všechny povrchově aktivní látky obsažené ve finálním produktu musí být snadno biologicky rozložitelné za aerobních podmínek a rozložitelné za anaerobních podmínek (způsob stanovení a vyhodnocení dle Nařízení Evropského parlamentu a Rady (ES) č.2004/648);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−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čisticí prostředky jsou označeny ekoznačkou nebo mají srovnatelné vlastnosti;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požadavky na obaly – minimum obalového materiálu v poměru k objemu/hmotnosti dodaného zboží.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Vyloučení extrémně nebezpečných látek: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 značce  výrobku,  v  bezpečnostním  listu  ani  v  jiných  příslušných  technických  listech  nesmí  být  uvedeny  žádné složky (látky), které byly identifikovány jako látky vzbuzující mimořádné obavy a které jsou uvedeny na seznamu nařízení (ES) č. 1907/2006 (nařízení REACH). 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Výrobek nesmí obsahovat následující složky u univerzálních prostředků:</w:t>
      </w:r>
    </w:p>
    <w:p>
      <w:pPr>
        <w:pStyle w:val="Footnotetext"/>
        <w:numPr>
          <w:ilvl w:val="0"/>
          <w:numId w:val="2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fosfor (u čisticích prostředků, které se před použitím ředí vodou, je limit 0,02 g v dávce výrobku doporučené výrobcem na 1 litr vody určené k mytí, u univerzálních čisticích prostředků používaných bez ředění je limit 0,2 g na 100 g výrobku), </w:t>
      </w:r>
    </w:p>
    <w:p>
      <w:pPr>
        <w:pStyle w:val="Footnotetext"/>
        <w:numPr>
          <w:ilvl w:val="0"/>
          <w:numId w:val="2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biocidy, pokud nejsou používány jako konzervanty,</w:t>
      </w:r>
    </w:p>
    <w:p>
      <w:pPr>
        <w:pStyle w:val="Footnotetext"/>
        <w:numPr>
          <w:ilvl w:val="0"/>
          <w:numId w:val="2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biocidy, které jsou klasifikovány jako H410 nebo H411 podle nařízení (ES) č. 1272/2008, ledaže by nebyly potenciálně bioakumulativní.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Výrobek nesmí obsahovat následující složky pro mycí a oplachovací prostředky do myček nádobí šetrných k životnímu prostředí:¨</w:t>
      </w:r>
    </w:p>
    <w:p>
      <w:pPr>
        <w:pStyle w:val="Footnotetex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bCs/>
          <w:sz w:val="22"/>
          <w:szCs w:val="22"/>
          <w:u w:val="single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 značce  výrobku,  v  bezpečnostním  listu  ani  v  jiných  příslušných  technických  listech  nesmí  být  uvedeny  žádné složky (látky), které byly identifikovány jako látky vzbuzující mimořádné obavy a které jsou uvedeny na seznamu nařízení (ES) č. 1907/2006 (nařízení REACH). 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Výrobek nesmí obsahovat následující složky (v množství překračujícím 0,01 % hmotnostních výrobku):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•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fosfáty,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•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biocidy, pokud nejsou používány jako konzervanty,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•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biocidy, které jsou klasifikovány jako H410, H411 nebo H412 nebo podle nařízení č. 1272/2008, ledaže by nebyly potenciálně bioakumulativní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Sběr, svoz a likvidace komunálního odpadu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 rámci VZ na dodavatele této služby, budou zohledněny v rámci minimálních technických parametrů či jako hodnotící kritérium následující minimální požadavky pro komunální odpad, tj. směsný komunální odpad a tříděný komunální odpad, tj. sklo, papír, plasty, bioodpad a kovy: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 Technologická úroveň vozidel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Technologickou úrovní vozidel se rozumí emisní úroveň a vybavenost technologiemi sloužícími k redukci skleníkových plynů. U vozidel kategorie N2 a N3 (dle přílohy vyhlášky č. 341/2014 Sb., o schvalování technické způsobilosti a o technických podmínkách provozu vozidel na pozemních komunikacích), která budou používána pro plnění zakázky. Zadavatel zároveň stanoví minimální požadavek na technologickou úroveň vozidel tak, že žádné z vozidel určených k plnění zakázky nesmí mít horší emisní úroveň než Euro V.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Energetické využití odpadu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Energetickým využitím se rozumí způsoby využití odpadu spadající pod R1 (využití odpadu způsobem obdobným jako paliva nebo jiným způsobem k výrobě energie) přílohy č. 5 zákona č. 541/2020 Sb., o odpadech.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Materiálové využití odpadu 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Materiálovým využitím se rozumí využití odpadu dle přílohy č. 5 zákona č. 541/2020 Sb., o odpadech vyjma způsobů spadajících pod R1.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Interiérové vybavení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 níže uvedených požadavků je nezbytné, aby tyto podmínky zapracoval již zpracovatel projektové dokumentace k VZ, která bude podkladem pro zadávací/výběrové řízení na dodavatele interiérového vybavení: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požadovat pouze takové výrobky, které neobsahují nebezpečné látky, barvy a mořidla nebo tyto látky obsahují jen ve velmi nízkém množství stanoveném příslušnými normami a současně vyhovují ve všech ohledech příslušným normám, jež se týkají odolnosti, požadavků na rozměry, bezpečnosti a pevnosti výrobku a je u nich možnost vyžadovat prodloužené záruky za jakost. </w:t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Požadovat, aby veškeré použité dřevo pocházelo ze zákonného, šetrného a trvale udržitelného lesního hospodaření.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Požadavky zadavatele splní dodavatel použitím dřeva s certifikací FSC (Forest Stewardship Council), PEFC (Programme for the Endorsement of Forest Certification) či jinou certifikací udržitelného lesního hospodaření vydanou třetí nezávislou osobou. Splnění podmínky použití dřeva ze zákonného, šetrného a trvale udržitelného lesního hospodaření může dodavatel doložit i jiným vhodným způsobem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Emise formaldehydu z desek na bázi dřeva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Emise formaldehydu ze všech dodávaných desek na bázi dřeva v podobě, v níž se používají v nábytkových výrobcích (tj. bez povrchové úpravy, s nátěrem, krycí vrstvou, dýhováním), které byly vyrobeny s použitím pryskyřice na bázi formaldehydu, musí být menší nebo rovné mezním hodnotám E1 pro emise formaldehydu stanoveným v příloze B normy EN 13986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(zadavatel umožní nabídnout rovnocenné řešení)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Omezení pro nátěrové směsi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Žádná nátěrová směs použitá výrobcem nábytku k nátěru jakýchkoli dřevěných či kovových dílců nábytkového výrobku nesmí být podle nařízení Evropského parlamentu a Rady (ES) č. 1272/2008 klasifikována jako: </w:t>
      </w:r>
    </w:p>
    <w:p>
      <w:pPr>
        <w:pStyle w:val="Defaul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• </w:t>
      </w:r>
      <w:r>
        <w:rPr>
          <w:rFonts w:cs="Calibri" w:cstheme="minorHAnsi"/>
          <w:sz w:val="22"/>
          <w:szCs w:val="22"/>
        </w:rPr>
        <w:t xml:space="preserve">Karcinogenní, mutagenní nebo toxická pro reprodukci kategorie 1 nebo 2. </w:t>
      </w:r>
    </w:p>
    <w:p>
      <w:pPr>
        <w:pStyle w:val="Defaul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• </w:t>
      </w:r>
      <w:r>
        <w:rPr>
          <w:rFonts w:cs="Calibri" w:cstheme="minorHAnsi"/>
          <w:sz w:val="22"/>
          <w:szCs w:val="22"/>
        </w:rPr>
        <w:t xml:space="preserve">Akutně toxická orální, dermální nebo inhalační cestou (kategorie 1 nebo 2) nebo pro </w:t>
      </w:r>
    </w:p>
    <w:p>
      <w:pPr>
        <w:pStyle w:val="Defaul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vodní prostředí (kategorie 1). </w:t>
      </w:r>
    </w:p>
    <w:p>
      <w:pPr>
        <w:pStyle w:val="Defaul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• </w:t>
      </w:r>
      <w:r>
        <w:rPr>
          <w:rFonts w:cs="Calibri" w:cstheme="minorHAnsi"/>
          <w:sz w:val="22"/>
          <w:szCs w:val="22"/>
        </w:rPr>
        <w:t xml:space="preserve">Toxická pro specifické cílové orgány kategorie 1.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Nesmí obsahovat žádná aditiva na bázi kadmia, olova, šestivazného chromu, rtuti, arsenu nebo selenu v koncentracích přesahujících 0,010 % hmotnostních.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Omezení pro kovy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elektrolytické pokovování kovových dílců použitých v konečném nábytkovém výrobku nelze používat kadmium. Nikl je na elektrolytické pokovování povolen pouze v případě, je-li rychlost uvolňování niklu z pokovovaného dílce nižší než 0,5 μg/cm2/týden, a to podle normy EN 18115 (zadavatel umožní nabídnout rovnocenné řešení).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Omezení pro látky pro případné zahrnutí do seznamu podle nařízení REACH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Výrobek ani žádné jeho dílce/materiály nesmí obsahovat látky pro případné zahrnutí do seznamu podle nařízení REACH6 v koncentraci větší než 0,1 % (hmotnostních). Pozn.: Seznam látek vzbuzujících mimořádné obavy podléhajících povolení podle čl. 59 odst. 10 nařízení REACH </w:t>
      </w:r>
      <w:r>
        <w:rPr>
          <w:rFonts w:cs="Calibri" w:ascii="Calibri" w:hAnsi="Calibri" w:asciiTheme="minorHAnsi" w:cstheme="minorHAnsi" w:hAnsiTheme="minorHAnsi"/>
          <w:i/>
          <w:iCs/>
          <w:color w:val="0462C1"/>
          <w:sz w:val="22"/>
          <w:szCs w:val="22"/>
        </w:rPr>
        <w:t xml:space="preserve">https://echa.europa.eu/candidate-list-table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Nadouvadla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Pokud jsou v čalounění nábytku použity pěnové vycpávkové materiály, nesmějí se jako nadouvadla nebo pomocná nadouvací činidla při výrobě těchto vycpávkových materiálů používat halogenované organické sloučeniny.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Vhodnost k použití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Nábytkový výrobek musí splňovat požadavky stanovené v nejaktuálnějším znění následujících příslušných norem EN, jež se týkají odolnosti, požadavků na rozměry, bezpečnosti a pevnosti výrobku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3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Obalové materiály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Použité obaly byly vyrobeny ze snadno recyklovatelného materiálu nebo materiálu z obnovitelných zdrojů, nebo se musí jednat o systém pro vícero použití. Všechny obalové materiály musí být ručně snadno oddělitelné na recyklovatelné části tvořené jedním materiálem (např. lepenka, papír, plast, textilie). Nepřípustný je obal z PVC.</w:t>
      </w:r>
    </w:p>
    <w:p>
      <w:pPr>
        <w:pStyle w:val="Footnotetex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Stavební práce/projektové práce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Pro nadlimitní veřejné zakázky od roku 2023 povinnost zpracovávat projekty formou BIM (Building Information Modeling).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Individuálně u každé stavby/stavebního projektu stanovit podmínky a hodnotící kritéria tak, aby zohledňovaly SOZVZ dle charakteru konkrétní stavby, zejména vyhodnotit a aplikovat tyto podmínky: 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zaměření na náklady životního cyklu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podpora zaměstnanosti osob znevýhodněných na trhu práce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podpora vzdělávání, praxe, rekvalifikace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podpora férových dodavatelských vztahů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podpora důstojných pracovních podmínek a bezpečnosti práce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podpora přístupu sociálních podniků a podniků malé a střední velikosti, které mají vliv na místní zaměstnanost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redukce produkce odpadů, znečišťujících látek uvolňovaných do ovzduší, vody a půdy 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minimalizace dopadů realizovaných veřejných zakázek na okolí – hluk, světlo, doprava, zeleň 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minimalizace dopadů na okolí v průběhu realizace zakázky – doprava, hluk, prach 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celkové omezení uhlíkové stopy</w:t>
      </w:r>
      <w:r>
        <w:rPr/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a energetické náročnosti budov (nízkoenergetické/pasivní domy)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při rekonstrukci či pořizování budov požadovat využití přirozeného denního světla v maximální technicky proveditelné míře (a tak, aby toto řešení poskytovalo dostatečné osvětlení dle platných hygienických a technických norem); pro vybrané prostory (chodby, kuchyňky, WC)</w:t>
      </w:r>
    </w:p>
    <w:p>
      <w:pPr>
        <w:pStyle w:val="Footnotetext"/>
        <w:ind w:firstLine="708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instalovat osvětlení s automatickým vypínáním / čidlem přítomnosti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instalovat rekuperační systémy využívající zbytkového/odpadního tepla </w:t>
      </w:r>
    </w:p>
    <w:p>
      <w:pPr>
        <w:pStyle w:val="Footnotetext"/>
        <w:numPr>
          <w:ilvl w:val="0"/>
          <w:numId w:val="6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používání stavebních výrobků nebo materiálů s vysokým obsahem recyklovaného nebo znovu použitého materiálu</w:t>
      </w:r>
    </w:p>
    <w:p>
      <w:pPr>
        <w:pStyle w:val="Annotationtex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Instalace vysoce účinných a obnovitelných energetických technologií, které využívají příležitosti specifické pro dané místo ke snížení spotřeby energie a emisí CO2</w:t>
      </w:r>
    </w:p>
    <w:p>
      <w:pPr>
        <w:pStyle w:val="Annotationtex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Specifikace vybavení a povrchových úprav, které minimalizují nebezpečné emise do vnitřního vzduchu</w:t>
      </w:r>
    </w:p>
    <w:p>
      <w:pPr>
        <w:pStyle w:val="Annotationtex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Návrh ventilace s cílem zajistit zdravý vzduch a minimalizovat příjem vnějšího znečištění ovzduší (rekuperace vzduchu)</w:t>
      </w:r>
    </w:p>
    <w:p>
      <w:pPr>
        <w:pStyle w:val="Annotationtex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Specifikace a instalace technologií pro úsporu vody a nakládání s dešťovou vodou</w:t>
      </w:r>
    </w:p>
    <w:p>
      <w:pPr>
        <w:pStyle w:val="Annotationtex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instalace fyzických a elektronických systémů na podporu pokračující minimalizace využití energie, spotřeby vody a vzniku odpadu správci zařízení a okupanty</w:t>
      </w:r>
    </w:p>
    <w:p>
      <w:pPr>
        <w:pStyle w:val="Footnotetext"/>
        <w:ind w:firstLine="708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Kancelářský papír/obálky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 rámci environmentálního hlediska požadovat následující zvláštní podmínky plnění:</w:t>
      </w:r>
    </w:p>
    <w:p>
      <w:pPr>
        <w:pStyle w:val="Footnotetext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 environmentálního hlediska by měly být pro běžný provoz a tisk používány kancelářské papíry vyrobené na  bázi sběrových papírových vláken (recyklované papíry) nebo udržitelně získávaného primárního vlákna, v tomto smyslu nastavit vhodně hodnotící kritéria při výběru dodavatele</w:t>
      </w:r>
    </w:p>
    <w:p>
      <w:pPr>
        <w:pStyle w:val="Footnotetext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 alespoň 50% dodávek musí být proces bělení prováděn ekologicky, tj. bez použití elementárního chloru (ECF) či zcela bez použití chloru (TCF);</w:t>
      </w:r>
    </w:p>
    <w:p>
      <w:pPr>
        <w:pStyle w:val="Footnotetext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 alespoň 50% dodávek kancelářského papíru musí být založen na bázi primárního vlákna pocházejícího ze zákonně nebo udržitelně obhospodařovaných zdrojů.</w:t>
      </w:r>
    </w:p>
    <w:p>
      <w:pPr>
        <w:pStyle w:val="Footnotetext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papír vyráběný ze 100 % ze sběrových vláken je bělený bez použití EDTA </w:t>
      </w:r>
    </w:p>
    <w:p>
      <w:pPr>
        <w:pStyle w:val="Footnotetext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požadavky na balení – minimum obalového materiálu, resp. minimální poměr hmotnosti/objemu použitých obalů k hmotnosti/objemu zboží</w:t>
      </w:r>
    </w:p>
    <w:p>
      <w:pPr>
        <w:pStyle w:val="Footnotetex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Nákup IT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Veřejné zakázky na dodávky standardní kancelářské výpočetní techniky (PC, monitory, NB a tablety) zadavatel zadává v zavedeném dynamickém nákupním systému, tudíž je umožněno podat nabídku i malým a středním podnikům.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Snahou zadavatele je pořizovat vždy nejmodernější zařízení, která naplňují přísná kritéria ochrany životního prostředí.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Obalový materiál dodávaného zboží musí být vyroben při využití lepenkových krabic nejméně z 50 % z recyklovaného materiálu; pokud se pro konečné balení používají plastové sáčky nebo fólie, musí být vyrobeny alespoň z 50 % z recyklovaného materiálu nebo musí být biologicky rozložitelné nebo kompostovatelné v souladu s definicemi uvedenými v normě EN 13432.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 technických požadavcích pak zadavatel požaduje min.: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Funkce řízení spotřeby energie musí být u dodávaného zboží zabudována v samotném hardwaru.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Nabízené stolní počítače musí být navrženy tak, aby měly snadno dostupnou paměť, kterou lze vyměnit nebo rozšířit, a aby byla umožněna výměna pevného disku (nebo dílů, jež plní funkce pevného disku) a jednotek pro čtení disků CD či DVD, je-li jimi počítač vybaven. 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Podsvícení LCD monitorů nesmí obsahovat v průměru více než 3,5 mg rtuti na lampu.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 monitorů je požadována technologie eliminace blikání (Flicker Free) a nízké vyzařování modrého světla (Low Blue Light).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Operační paměť u stolních počítačů musí být rozšiřitelná vyměnitelnými moduly.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Zboží musí splňovat požadavky EnergyStar pro příslušný druh výrobku.</w:t>
      </w:r>
    </w:p>
    <w:p>
      <w:pPr>
        <w:pStyle w:val="Footnotetext"/>
        <w:ind w:left="72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4"/>
        </w:numPr>
        <w:spacing w:before="0" w:after="0"/>
        <w:jc w:val="both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  <w:t>Nákup originálního spotřebního materiálu pro tiskárny a kopírovací zařízení: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Veřejné zakázky na dodávky originálního spotřebního materiálu pro tiskárny a kopírovací zařízení (tonery, cartridge, válce apod.) zadavatel zadává v zavedeném dynamickém nákupním systému, tudíž je umožněno podat nabídku i malým a středním podnikům.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V případě nákupu spotřebního materiálu pro tiskárny a kopírovací zřízení je dodavatel povinen od zadavatele odebrat použitý spotřební materiál pro tiskárny a kopírovací zařízení a recyklovat jej, případně ekologicky zlikvidovat podle příslušných právních předpisů (normy ISO 14001).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Další podmínky: </w:t>
      </w:r>
    </w:p>
    <w:p>
      <w:pPr>
        <w:pStyle w:val="ListParagraph"/>
        <w:numPr>
          <w:ilvl w:val="0"/>
          <w:numId w:val="7"/>
        </w:numPr>
        <w:jc w:val="both"/>
        <w:rPr>
          <w:rFonts w:cs="Calibri" w:cstheme="minorHAnsi"/>
        </w:rPr>
      </w:pPr>
      <w:r>
        <w:rPr>
          <w:rFonts w:cs="Times New Roman" w:ascii="Times New Roman" w:hAnsi="Times New Roman"/>
          <w:color w:val="000000"/>
          <w:sz w:val="23"/>
          <w:szCs w:val="23"/>
        </w:rPr>
        <w:t>tonery nesmí obsahovat těžké kovy</w:t>
      </w:r>
    </w:p>
    <w:p>
      <w:pPr>
        <w:pStyle w:val="Footnotetext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požadavky na balení – minimum obalového materiálu, resp. minimální poměr hmotnosti/objemu použitých obalů k hmotnosti/objemu zboží</w:t>
      </w:r>
    </w:p>
    <w:p>
      <w:pPr>
        <w:pStyle w:val="Footnote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Footnotetext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ENERGIE</w:t>
      </w:r>
    </w:p>
    <w:p>
      <w:pPr>
        <w:pStyle w:val="Normal"/>
        <w:jc w:val="both"/>
        <w:rPr/>
      </w:pPr>
      <w:r>
        <w:rPr/>
        <w:t xml:space="preserve">Provoz administrativních budov představuje zátěž životního prostředí, pokud jde o: spotřebu elektrické energie a tepla spojenou s produkcí skleníkových plynů; spotřebu vody; produkci odpadů; místní znečištění ovzduší spojené s dopravou do zaměstnání a zásobování. Z výše uvedených důvodů je nezbytné: </w:t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</w:rPr>
      </w:pPr>
      <w:r>
        <w:rPr/>
        <w:t>sestavit bilanci spotřeby energií a emisí skleníkových plynů (jednotlivé budovy i UPOL jako celek), vypracovat a implementovat akční plány ke snižování spotřeby energie v rámci UPOL</w:t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</w:rPr>
      </w:pPr>
      <w:r>
        <w:rPr/>
        <w:t>zvýšit podíl obnovitelných zdrojů v nakupované energii</w:t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</w:rPr>
      </w:pPr>
      <w:r>
        <w:rPr/>
        <w:t>dodat</w:t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</w:rPr>
      </w:pPr>
      <w:r>
        <w:rPr/>
        <w:t>zavedení energetického managementu</w:t>
      </w:r>
    </w:p>
    <w:p>
      <w:pPr>
        <w:pStyle w:val="Footnotetext"/>
        <w:ind w:left="720" w:hanging="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upperLetter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6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6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poznpodarouChar" w:customStyle="1">
    <w:name w:val="Text pozn. pod čarou Char"/>
    <w:basedOn w:val="DefaultParagraphFont"/>
    <w:link w:val="Textpoznpodarou"/>
    <w:qFormat/>
    <w:rsid w:val="00e70f5f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a3b62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ea3b62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ea3b62"/>
    <w:rPr>
      <w:b/>
      <w:bCs/>
      <w:sz w:val="20"/>
      <w:szCs w:val="20"/>
    </w:rPr>
  </w:style>
  <w:style w:type="character" w:styleId="Internetovodkaz" w:customStyle="1">
    <w:name w:val="Internetový odkaz"/>
    <w:basedOn w:val="DefaultParagraphFont"/>
    <w:uiPriority w:val="99"/>
    <w:unhideWhenUsed/>
    <w:rsid w:val="004c10c6"/>
    <w:rPr>
      <w:color w:val="0000FF"/>
      <w:u w:val="single"/>
    </w:rPr>
  </w:style>
  <w:style w:type="character" w:styleId="Nevyeenzmnka1" w:customStyle="1">
    <w:name w:val="Nevyřešená zmínka1"/>
    <w:basedOn w:val="DefaultParagraphFont"/>
    <w:uiPriority w:val="99"/>
    <w:semiHidden/>
    <w:unhideWhenUsed/>
    <w:qFormat/>
    <w:rsid w:val="004c10c6"/>
    <w:rPr>
      <w:color w:val="605E5C"/>
      <w:shd w:fill="E1DFDD" w:val="clear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de2ee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de2ee3"/>
    <w:rPr>
      <w:color w:val="954F72" w:themeColor="followedHyperlink"/>
      <w:u w:val="single"/>
    </w:rPr>
  </w:style>
  <w:style w:type="character" w:styleId="Normaltextrun" w:customStyle="1">
    <w:name w:val="normaltextrun"/>
    <w:basedOn w:val="DefaultParagraphFont"/>
    <w:qFormat/>
    <w:rsid w:val="007a1bd7"/>
    <w:rPr/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eastAsia="Times New Roman" w:cs="Calibri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eastAsia="Times New Roman" w:cs="Calibri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eastAsia="Times New Roman" w:cs="Calibri"/>
      <w:sz w:val="22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eastAsia="Times New Roman" w:cs="Times New Roman"/>
      <w:sz w:val="22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eastAsia="Calibri" w:cs="Calibri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rFonts w:cs="Courier New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eastAsia="Times New Roman" w:cs="Calibri"/>
      <w:sz w:val="22"/>
    </w:rPr>
  </w:style>
  <w:style w:type="character" w:styleId="ListLabel29" w:customStyle="1">
    <w:name w:val="ListLabel 29"/>
    <w:qFormat/>
    <w:rPr>
      <w:rFonts w:cs="Courier New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Courier New"/>
    </w:rPr>
  </w:style>
  <w:style w:type="character" w:styleId="ListLabel32" w:customStyle="1">
    <w:name w:val="ListLabel 32"/>
    <w:qFormat/>
    <w:rPr>
      <w:rFonts w:eastAsia="Calibri" w:cs="Calibri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Courier New"/>
    </w:rPr>
  </w:style>
  <w:style w:type="character" w:styleId="ListLabel35" w:customStyle="1">
    <w:name w:val="ListLabel 35"/>
    <w:qFormat/>
    <w:rPr>
      <w:rFonts w:cs="Courier New"/>
    </w:rPr>
  </w:style>
  <w:style w:type="character" w:styleId="ListLabel36">
    <w:name w:val="ListLabel 36"/>
    <w:qFormat/>
    <w:rPr>
      <w:rFonts w:cs="Symbol"/>
      <w:sz w:val="22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Calibri"/>
      <w:sz w:val="22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Times New Roman"/>
      <w:sz w:val="22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Calibri"/>
      <w:sz w:val="22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paragraph" w:styleId="Nadpis" w:customStyle="1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Lohit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4c7d11"/>
    <w:pPr>
      <w:spacing w:before="0" w:after="160"/>
      <w:ind w:left="720" w:hanging="0"/>
      <w:contextualSpacing/>
    </w:pPr>
    <w:rPr/>
  </w:style>
  <w:style w:type="paragraph" w:styleId="Footnotetext">
    <w:name w:val="footnote text"/>
    <w:basedOn w:val="Normal"/>
    <w:link w:val="TextpoznpodarouChar"/>
    <w:unhideWhenUsed/>
    <w:qFormat/>
    <w:rsid w:val="00e70f5f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ea3b6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PedmtkomenteChar"/>
    <w:uiPriority w:val="99"/>
    <w:semiHidden/>
    <w:unhideWhenUsed/>
    <w:qFormat/>
    <w:rsid w:val="00ea3b62"/>
    <w:pPr/>
    <w:rPr>
      <w:b/>
      <w:bCs/>
    </w:rPr>
  </w:style>
  <w:style w:type="paragraph" w:styleId="Default" w:customStyle="1">
    <w:name w:val="Default"/>
    <w:qFormat/>
    <w:rsid w:val="00fc4fab"/>
    <w:pPr>
      <w:widowControl/>
      <w:bidi w:val="0"/>
      <w:jc w:val="left"/>
    </w:pPr>
    <w:rPr>
      <w:rFonts w:ascii="Calibri" w:hAnsi="Calibri" w:eastAsia="Calibri" w:cs="Calibri"/>
      <w:color w:val="000000"/>
      <w:sz w:val="24"/>
      <w:szCs w:val="24"/>
      <w:lang w:val="cs-CZ" w:eastAsia="en-US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de2e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nhideWhenUsed/>
    <w:qFormat/>
    <w:rsid w:val="00d22c6c"/>
    <w:pPr>
      <w:spacing w:lineRule="auto" w:line="240" w:before="0" w:after="240"/>
      <w:jc w:val="both"/>
    </w:pPr>
    <w:rPr>
      <w:rFonts w:ascii="Times New Roman" w:hAnsi="Times New Roman" w:eastAsia="Times New Roman" w:cs="Times New Roman"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0D4F3-59DC-4D11-95A6-8C7B3D45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9</Pages>
  <Words>3568</Words>
  <CharactersWithSpaces>21053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2021-09-29T04:28:00Z</dcterms:created>
  <dc:creator>Jungova Petra</dc:creator>
  <dc:description/>
  <dc:language>en-US</dc:language>
  <cp:lastModifiedBy>Jungova Petra</cp:lastModifiedBy>
  <dcterms:modified xsi:type="dcterms:W3CDTF">2021-09-29T04:28:00Z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