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49" w:rsidRDefault="00302D49" w:rsidP="00302D49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Seminární práce</w:t>
      </w:r>
    </w:p>
    <w:p w:rsidR="00302D49" w:rsidRDefault="00302D49" w:rsidP="00302D49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D49" w:rsidRPr="00302D49" w:rsidRDefault="00302D49" w:rsidP="00302D49">
      <w:pPr>
        <w:spacing w:after="0" w:line="300" w:lineRule="auto"/>
        <w:jc w:val="center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 w:rsidRPr="00302D49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Vzájemná regulace glykolýzy a glukoneogeneze</w:t>
      </w:r>
    </w:p>
    <w:p w:rsidR="00302D49" w:rsidRDefault="00302D49" w:rsidP="00302D49">
      <w:pPr>
        <w:spacing w:after="0" w:line="300" w:lineRule="auto"/>
        <w:jc w:val="center"/>
        <w:rPr>
          <w:rFonts w:ascii="Times New Roman" w:hAnsi="Times New Roman" w:cs="Times New Roman"/>
          <w:b/>
        </w:rPr>
      </w:pPr>
    </w:p>
    <w:p w:rsidR="00302D49" w:rsidRDefault="00302D49" w:rsidP="00302D49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302D49" w:rsidRDefault="00302D49" w:rsidP="00302D4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Vypracovala: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Jana Chalupová</w:t>
      </w:r>
    </w:p>
    <w:p w:rsidR="00302D49" w:rsidRDefault="00302D49" w:rsidP="00302D49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Předmět.</w:t>
      </w:r>
      <w:r>
        <w:rPr>
          <w:rFonts w:ascii="Times New Roman" w:hAnsi="Times New Roman" w:cs="Times New Roman"/>
        </w:rPr>
        <w:tab/>
        <w:t>Oborový seminář</w:t>
      </w:r>
      <w:r w:rsidR="006F4E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 (KBC/OSE4)</w:t>
      </w:r>
    </w:p>
    <w:p w:rsidR="00302D49" w:rsidRDefault="00302D49" w:rsidP="00302D49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27. 4. 2011</w:t>
      </w:r>
    </w:p>
    <w:p w:rsidR="00302D49" w:rsidRDefault="00302D49" w:rsidP="00302D49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Biochemie</w:t>
      </w:r>
    </w:p>
    <w:p w:rsidR="00302D49" w:rsidRDefault="00302D49" w:rsidP="00302D49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Ročník: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</w:t>
      </w:r>
    </w:p>
    <w:p w:rsidR="00302D49" w:rsidRDefault="00302D49" w:rsidP="00302D49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302D49" w:rsidRDefault="00302D49" w:rsidP="003A09B7">
      <w:pPr>
        <w:pBdr>
          <w:top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</w:rPr>
      </w:pPr>
    </w:p>
    <w:p w:rsidR="00B67394" w:rsidRDefault="00AC30BC" w:rsidP="00A040B9">
      <w:pPr>
        <w:spacing w:after="0" w:line="300" w:lineRule="auto"/>
        <w:jc w:val="both"/>
        <w:rPr>
          <w:rFonts w:ascii="Times New Roman" w:hAnsi="Times New Roman" w:cs="Times New Roman"/>
        </w:rPr>
      </w:pPr>
      <w:r w:rsidRPr="003A09B7">
        <w:rPr>
          <w:rFonts w:ascii="Times New Roman" w:hAnsi="Times New Roman" w:cs="Times New Roman"/>
          <w:b/>
        </w:rPr>
        <w:t>Glykolýza</w:t>
      </w:r>
      <w:r w:rsidRPr="00AC30BC">
        <w:rPr>
          <w:rFonts w:ascii="Times New Roman" w:hAnsi="Times New Roman" w:cs="Times New Roman"/>
        </w:rPr>
        <w:t xml:space="preserve"> je metabolický proces degradace glykolýzy probíhající anaerobně (za nepřístupu kyslíku) ve všech živých buňkách. Jak prokaryotických, tak eukaryotických. V eukaryotických buňkách se proces glykolýzy odehrává v cytosolu. Glykolýza je tedy sled reakcí, kdy dochází k metabolizaci jedné molekuly glukosy na dvě molekuly pyruvátu a dvě molekuly ATP.</w:t>
      </w:r>
      <w:r w:rsidR="003A09B7">
        <w:rPr>
          <w:rFonts w:ascii="Times New Roman" w:hAnsi="Times New Roman" w:cs="Times New Roman"/>
        </w:rPr>
        <w:t xml:space="preserve"> Probíhá ve třech stupních: </w:t>
      </w:r>
    </w:p>
    <w:p w:rsidR="003A09B7" w:rsidRDefault="003A09B7" w:rsidP="00A040B9">
      <w:pPr>
        <w:spacing w:after="0" w:line="30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A77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Převedení glukosy na fruktosa-1,6-bisfofát (probíhají zde fosforylace)</w:t>
      </w:r>
    </w:p>
    <w:p w:rsidR="003A09B7" w:rsidRDefault="003A09B7" w:rsidP="00A040B9">
      <w:pPr>
        <w:spacing w:after="0" w:line="30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Štěpení hexosy (</w:t>
      </w:r>
      <w:proofErr w:type="gramStart"/>
      <w:r>
        <w:rPr>
          <w:rFonts w:ascii="Times New Roman" w:hAnsi="Times New Roman" w:cs="Times New Roman"/>
        </w:rPr>
        <w:t>fruktosa-1,6-bisfofátu</w:t>
      </w:r>
      <w:proofErr w:type="gramEnd"/>
      <w:r>
        <w:rPr>
          <w:rFonts w:ascii="Times New Roman" w:hAnsi="Times New Roman" w:cs="Times New Roman"/>
        </w:rPr>
        <w:t>) na dvě vzájemně převo</w:t>
      </w:r>
      <w:r w:rsidR="00A611CF">
        <w:rPr>
          <w:rFonts w:ascii="Times New Roman" w:hAnsi="Times New Roman" w:cs="Times New Roman"/>
        </w:rPr>
        <w:t>ditelné triosy (glyceraldehyd-3</w:t>
      </w:r>
      <w:r w:rsidR="00A611CF">
        <w:rPr>
          <w:rFonts w:ascii="Times New Roman" w:hAnsi="Times New Roman" w:cs="Times New Roman"/>
        </w:rPr>
        <w:noBreakHyphen/>
      </w:r>
      <w:r>
        <w:rPr>
          <w:rFonts w:ascii="Times New Roman" w:hAnsi="Times New Roman" w:cs="Times New Roman"/>
        </w:rPr>
        <w:t>fosfát a dihydroxyaceton-3-fosfát)</w:t>
      </w:r>
    </w:p>
    <w:p w:rsidR="003A09B7" w:rsidRDefault="003A09B7" w:rsidP="00A040B9">
      <w:pPr>
        <w:spacing w:after="0" w:line="30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Oxidace tříuhlíkatých sloučenin na pyruvát a současná tvorba molekul ATP</w:t>
      </w:r>
    </w:p>
    <w:p w:rsidR="00592EC9" w:rsidRDefault="00592EC9" w:rsidP="00A040B9">
      <w:pPr>
        <w:spacing w:after="0" w:line="300" w:lineRule="auto"/>
        <w:ind w:left="426" w:hanging="284"/>
        <w:jc w:val="both"/>
        <w:rPr>
          <w:rFonts w:ascii="Times New Roman" w:hAnsi="Times New Roman" w:cs="Times New Roman"/>
        </w:rPr>
      </w:pPr>
    </w:p>
    <w:p w:rsidR="008F1524" w:rsidRDefault="00801FAE" w:rsidP="00A040B9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Chod metabolických procesů glykolýzy musí být regulován a kontrolován z důvodu tvor</w:t>
      </w:r>
      <w:r w:rsidR="008F1524">
        <w:rPr>
          <w:rFonts w:ascii="Times New Roman" w:hAnsi="Times New Roman" w:cs="Times New Roman"/>
        </w:rPr>
        <w:t xml:space="preserve">by ATP, </w:t>
      </w:r>
      <w:r>
        <w:rPr>
          <w:rFonts w:ascii="Times New Roman" w:hAnsi="Times New Roman" w:cs="Times New Roman"/>
        </w:rPr>
        <w:t>vznikajícího degradací glukosy na pyruvát</w:t>
      </w:r>
      <w:r w:rsidR="008F15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</w:t>
      </w:r>
      <w:r w:rsidR="008F1524">
        <w:rPr>
          <w:rFonts w:ascii="Times New Roman" w:hAnsi="Times New Roman" w:cs="Times New Roman"/>
        </w:rPr>
        <w:t>produkce stavebních látek pro anabolické reakce. V metabolické dráze glykolýzy existují proto tři místa kontroly, které zprostředkovávají enzymy katalyzující v podstatě ireversibilní reakce</w:t>
      </w:r>
      <w:r w:rsidR="008A4BE4">
        <w:rPr>
          <w:rFonts w:ascii="Times New Roman" w:hAnsi="Times New Roman" w:cs="Times New Roman"/>
        </w:rPr>
        <w:t>. Jedná se o enzymy, jejichž aktivity jsou regulovány reversibilní vazbou allosterických efektorů nebo kovalentní modifikací</w:t>
      </w:r>
      <w:r w:rsidR="008F1524">
        <w:rPr>
          <w:rFonts w:ascii="Times New Roman" w:hAnsi="Times New Roman" w:cs="Times New Roman"/>
        </w:rPr>
        <w:t>:</w:t>
      </w:r>
    </w:p>
    <w:p w:rsidR="008F1524" w:rsidRDefault="008F1524" w:rsidP="00A040B9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8F1524" w:rsidRDefault="008A4BE4" w:rsidP="00A040B9">
      <w:pPr>
        <w:pStyle w:val="Odstavecseseznamem"/>
        <w:numPr>
          <w:ilvl w:val="0"/>
          <w:numId w:val="1"/>
        </w:numPr>
        <w:spacing w:after="0" w:line="300" w:lineRule="auto"/>
        <w:ind w:left="426"/>
        <w:jc w:val="both"/>
        <w:rPr>
          <w:rFonts w:ascii="Times New Roman" w:hAnsi="Times New Roman" w:cs="Times New Roman"/>
        </w:rPr>
      </w:pPr>
      <w:r w:rsidRPr="008A4BE4">
        <w:rPr>
          <w:rFonts w:ascii="Times New Roman" w:hAnsi="Times New Roman" w:cs="Times New Roman"/>
          <w:b/>
        </w:rPr>
        <w:t>H</w:t>
      </w:r>
      <w:r w:rsidR="008F1524" w:rsidRPr="008A4BE4">
        <w:rPr>
          <w:rFonts w:ascii="Times New Roman" w:hAnsi="Times New Roman" w:cs="Times New Roman"/>
          <w:b/>
        </w:rPr>
        <w:t>exokinasa</w:t>
      </w:r>
      <w:r>
        <w:rPr>
          <w:rFonts w:ascii="Times New Roman" w:hAnsi="Times New Roman" w:cs="Times New Roman"/>
        </w:rPr>
        <w:t xml:space="preserve"> - enzym, který katalyzuje první krok glykolýzy. Za katalýzy tohoto enzymu dochází fosforylaci glukosy, a tím k zamezení průchodu glukosy přes buněčné membrány, a také k její destabilizaci. Hexokinasa je inhibována svým produktem - glukosa-6-fosfátem</w:t>
      </w:r>
      <w:r w:rsidR="00FF02CF">
        <w:rPr>
          <w:rFonts w:ascii="Times New Roman" w:hAnsi="Times New Roman" w:cs="Times New Roman"/>
        </w:rPr>
        <w:t>. V</w:t>
      </w:r>
      <w:r>
        <w:rPr>
          <w:rFonts w:ascii="Times New Roman" w:hAnsi="Times New Roman" w:cs="Times New Roman"/>
        </w:rPr>
        <w:t>ysok</w:t>
      </w:r>
      <w:r w:rsidR="00FF02CF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ko</w:t>
      </w:r>
      <w:r w:rsidR="00FF02CF">
        <w:rPr>
          <w:rFonts w:ascii="Times New Roman" w:hAnsi="Times New Roman" w:cs="Times New Roman"/>
        </w:rPr>
        <w:t>ncentrace</w:t>
      </w:r>
      <w:r>
        <w:rPr>
          <w:rFonts w:ascii="Times New Roman" w:hAnsi="Times New Roman" w:cs="Times New Roman"/>
        </w:rPr>
        <w:t xml:space="preserve"> této látky,</w:t>
      </w:r>
      <w:r w:rsidR="00FF02CF">
        <w:rPr>
          <w:rFonts w:ascii="Times New Roman" w:hAnsi="Times New Roman" w:cs="Times New Roman"/>
        </w:rPr>
        <w:t xml:space="preserve"> tudíž naznačuje, že buňka</w:t>
      </w:r>
      <w:r w:rsidR="00467610">
        <w:rPr>
          <w:rFonts w:ascii="Times New Roman" w:hAnsi="Times New Roman" w:cs="Times New Roman"/>
        </w:rPr>
        <w:t xml:space="preserve"> má dostatek energie, která může být uložena ve formě glykogenu nebo může sloužit jako biosyntetický prekurzor. Zároveň také inhibice enzymu fosfofruktokinasy</w:t>
      </w:r>
      <w:r w:rsidR="00ED310B">
        <w:rPr>
          <w:rFonts w:ascii="Times New Roman" w:hAnsi="Times New Roman" w:cs="Times New Roman"/>
        </w:rPr>
        <w:t xml:space="preserve"> (roste hladina fruktos</w:t>
      </w:r>
      <w:r w:rsidR="00C522C9">
        <w:rPr>
          <w:rFonts w:ascii="Times New Roman" w:hAnsi="Times New Roman" w:cs="Times New Roman"/>
        </w:rPr>
        <w:t>a-6-fosfátu a tudíž i glukosa</w:t>
      </w:r>
      <w:r w:rsidR="00C522C9">
        <w:rPr>
          <w:rFonts w:ascii="Times New Roman" w:hAnsi="Times New Roman" w:cs="Times New Roman"/>
        </w:rPr>
        <w:noBreakHyphen/>
        <w:t>6</w:t>
      </w:r>
      <w:r w:rsidR="00C522C9">
        <w:rPr>
          <w:rFonts w:ascii="Times New Roman" w:hAnsi="Times New Roman" w:cs="Times New Roman"/>
        </w:rPr>
        <w:noBreakHyphen/>
      </w:r>
      <w:r w:rsidR="00ED310B">
        <w:rPr>
          <w:rFonts w:ascii="Times New Roman" w:hAnsi="Times New Roman" w:cs="Times New Roman"/>
        </w:rPr>
        <w:t>fosfátu)</w:t>
      </w:r>
      <w:r w:rsidR="00467610">
        <w:rPr>
          <w:rFonts w:ascii="Times New Roman" w:hAnsi="Times New Roman" w:cs="Times New Roman"/>
        </w:rPr>
        <w:t xml:space="preserve"> vede k inhibici hexokinasy.</w:t>
      </w:r>
      <w:r>
        <w:rPr>
          <w:rFonts w:ascii="Times New Roman" w:hAnsi="Times New Roman" w:cs="Times New Roman"/>
        </w:rPr>
        <w:t xml:space="preserve"> </w:t>
      </w:r>
    </w:p>
    <w:p w:rsidR="007E0C0F" w:rsidRPr="006027C1" w:rsidRDefault="00C13FAB" w:rsidP="00A040B9">
      <w:pPr>
        <w:pStyle w:val="Odstavecseseznamem"/>
        <w:numPr>
          <w:ilvl w:val="0"/>
          <w:numId w:val="1"/>
        </w:numPr>
        <w:spacing w:after="0" w:line="300" w:lineRule="auto"/>
        <w:ind w:left="426"/>
        <w:jc w:val="both"/>
        <w:rPr>
          <w:rFonts w:ascii="Times New Roman" w:hAnsi="Times New Roman" w:cs="Times New Roman"/>
          <w:color w:val="FF0000"/>
        </w:rPr>
      </w:pPr>
      <w:r w:rsidRPr="00C13FAB">
        <w:rPr>
          <w:rFonts w:ascii="Times New Roman" w:hAnsi="Times New Roman" w:cs="Times New Roman"/>
          <w:b/>
        </w:rPr>
        <w:t>F</w:t>
      </w:r>
      <w:r w:rsidR="008F1524" w:rsidRPr="00C13FAB">
        <w:rPr>
          <w:rFonts w:ascii="Times New Roman" w:hAnsi="Times New Roman" w:cs="Times New Roman"/>
          <w:b/>
        </w:rPr>
        <w:t>osfofruktokinasa</w:t>
      </w:r>
      <w:r w:rsidR="0004056C">
        <w:rPr>
          <w:rFonts w:ascii="Times New Roman" w:hAnsi="Times New Roman" w:cs="Times New Roman"/>
        </w:rPr>
        <w:t xml:space="preserve"> - je </w:t>
      </w:r>
      <w:r w:rsidR="00C522C9">
        <w:rPr>
          <w:rFonts w:ascii="Times New Roman" w:hAnsi="Times New Roman" w:cs="Times New Roman"/>
        </w:rPr>
        <w:t xml:space="preserve">nejdůležitější </w:t>
      </w:r>
      <w:r w:rsidR="0004056C">
        <w:rPr>
          <w:rFonts w:ascii="Times New Roman" w:hAnsi="Times New Roman" w:cs="Times New Roman"/>
        </w:rPr>
        <w:t xml:space="preserve">enzym v regulaci </w:t>
      </w:r>
      <w:r w:rsidR="00C522C9">
        <w:rPr>
          <w:rFonts w:ascii="Times New Roman" w:hAnsi="Times New Roman" w:cs="Times New Roman"/>
        </w:rPr>
        <w:t xml:space="preserve">savčí </w:t>
      </w:r>
      <w:r w:rsidR="0004056C">
        <w:rPr>
          <w:rFonts w:ascii="Times New Roman" w:hAnsi="Times New Roman" w:cs="Times New Roman"/>
        </w:rPr>
        <w:t xml:space="preserve">glykolýzy. Katalyzuje fosforylaci </w:t>
      </w:r>
      <w:r>
        <w:rPr>
          <w:rFonts w:ascii="Times New Roman" w:hAnsi="Times New Roman" w:cs="Times New Roman"/>
        </w:rPr>
        <w:t xml:space="preserve">fruktosa-6-fosfátu za účasti ATP. </w:t>
      </w:r>
      <w:r w:rsidR="00C522C9">
        <w:rPr>
          <w:rFonts w:ascii="Times New Roman" w:hAnsi="Times New Roman" w:cs="Times New Roman"/>
        </w:rPr>
        <w:t xml:space="preserve">Jaterní enzym </w:t>
      </w:r>
      <w:r w:rsidR="00C01E97">
        <w:rPr>
          <w:rFonts w:ascii="Times New Roman" w:hAnsi="Times New Roman" w:cs="Times New Roman"/>
        </w:rPr>
        <w:t>j</w:t>
      </w:r>
      <w:r w:rsidR="00C522C9">
        <w:rPr>
          <w:rFonts w:ascii="Times New Roman" w:hAnsi="Times New Roman" w:cs="Times New Roman"/>
        </w:rPr>
        <w:t>e tedy a</w:t>
      </w:r>
      <w:r w:rsidR="00C01E97">
        <w:rPr>
          <w:rFonts w:ascii="Times New Roman" w:hAnsi="Times New Roman" w:cs="Times New Roman"/>
        </w:rPr>
        <w:t>ll</w:t>
      </w:r>
      <w:r w:rsidR="00C522C9">
        <w:rPr>
          <w:rFonts w:ascii="Times New Roman" w:hAnsi="Times New Roman" w:cs="Times New Roman"/>
        </w:rPr>
        <w:t>ostericky inhibován vysokou hladinou ATP</w:t>
      </w:r>
      <w:r w:rsidR="00C01E97">
        <w:rPr>
          <w:rFonts w:ascii="Times New Roman" w:hAnsi="Times New Roman" w:cs="Times New Roman"/>
        </w:rPr>
        <w:t xml:space="preserve"> tak, že snižuje afinitu tohoto enzymu k fruktosa-</w:t>
      </w:r>
      <w:r w:rsidR="007E0C0F">
        <w:rPr>
          <w:rFonts w:ascii="Times New Roman" w:hAnsi="Times New Roman" w:cs="Times New Roman"/>
        </w:rPr>
        <w:t xml:space="preserve">6-fosfátu. AMP naopak dovede </w:t>
      </w:r>
      <w:r w:rsidR="00C01E97">
        <w:rPr>
          <w:rFonts w:ascii="Times New Roman" w:hAnsi="Times New Roman" w:cs="Times New Roman"/>
        </w:rPr>
        <w:t>zvrátit</w:t>
      </w:r>
      <w:r w:rsidR="007E0C0F">
        <w:rPr>
          <w:rFonts w:ascii="Times New Roman" w:hAnsi="Times New Roman" w:cs="Times New Roman"/>
        </w:rPr>
        <w:t xml:space="preserve"> inhibiční účinek ATP. Se snižujícím se poměrem ATP/AMP se tudíž zvyšuje aktivita enzymu. Glykolýza je započata, jakmile dojde k poklesu </w:t>
      </w:r>
      <w:r w:rsidR="007E0C0F" w:rsidRPr="002D1C3D">
        <w:rPr>
          <w:rFonts w:ascii="Times New Roman" w:hAnsi="Times New Roman" w:cs="Times New Roman"/>
        </w:rPr>
        <w:t>energetick</w:t>
      </w:r>
      <w:r w:rsidR="002D1C3D">
        <w:rPr>
          <w:rFonts w:ascii="Times New Roman" w:hAnsi="Times New Roman" w:cs="Times New Roman"/>
        </w:rPr>
        <w:t>é hotovosti.</w:t>
      </w:r>
      <w:r w:rsidR="006027C1">
        <w:rPr>
          <w:rFonts w:ascii="Times New Roman" w:hAnsi="Times New Roman" w:cs="Times New Roman"/>
          <w:color w:val="FF0000"/>
        </w:rPr>
        <w:t xml:space="preserve"> </w:t>
      </w:r>
      <w:r w:rsidR="007E0C0F" w:rsidRPr="006027C1">
        <w:rPr>
          <w:rFonts w:ascii="Times New Roman" w:hAnsi="Times New Roman" w:cs="Times New Roman"/>
        </w:rPr>
        <w:t xml:space="preserve">Pokles hladiny pH taktéž inhibuje aktivitu fosfofruktokinasy, při čemž se předchází produkci vysokých koncentrací laktátu </w:t>
      </w:r>
      <w:r w:rsidR="00F72B2E" w:rsidRPr="006027C1">
        <w:rPr>
          <w:rFonts w:ascii="Times New Roman" w:hAnsi="Times New Roman" w:cs="Times New Roman"/>
        </w:rPr>
        <w:t>a tudíž acidóze</w:t>
      </w:r>
      <w:r w:rsidR="00217A20" w:rsidRPr="006027C1">
        <w:rPr>
          <w:rFonts w:ascii="Times New Roman" w:hAnsi="Times New Roman" w:cs="Times New Roman"/>
        </w:rPr>
        <w:t xml:space="preserve"> strmému poklesu pH v krvi.</w:t>
      </w:r>
    </w:p>
    <w:p w:rsidR="00217A20" w:rsidRDefault="00735AE3" w:rsidP="00A040B9">
      <w:pPr>
        <w:pStyle w:val="Odstavecseseznamem"/>
        <w:spacing w:after="0" w:line="30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7A20">
        <w:rPr>
          <w:rFonts w:ascii="Times New Roman" w:hAnsi="Times New Roman" w:cs="Times New Roman"/>
        </w:rPr>
        <w:t>Citrát inhibuje fosfofruktokinasu jako důsledek nadbytku všech biosyntetických prekurzorů</w:t>
      </w:r>
      <w:r w:rsidR="004B05FE">
        <w:rPr>
          <w:rFonts w:ascii="Times New Roman" w:hAnsi="Times New Roman" w:cs="Times New Roman"/>
        </w:rPr>
        <w:t>,</w:t>
      </w:r>
      <w:r w:rsidR="00217A20">
        <w:rPr>
          <w:rFonts w:ascii="Times New Roman" w:hAnsi="Times New Roman" w:cs="Times New Roman"/>
        </w:rPr>
        <w:t xml:space="preserve"> a tudíž i pyruvátu, který není </w:t>
      </w:r>
      <w:r w:rsidR="004B05FE">
        <w:rPr>
          <w:rFonts w:ascii="Times New Roman" w:hAnsi="Times New Roman" w:cs="Times New Roman"/>
        </w:rPr>
        <w:t>za těchto podmínek</w:t>
      </w:r>
      <w:r w:rsidR="00217A20">
        <w:rPr>
          <w:rFonts w:ascii="Times New Roman" w:hAnsi="Times New Roman" w:cs="Times New Roman"/>
        </w:rPr>
        <w:t xml:space="preserve"> degradací glukosy potřeba</w:t>
      </w:r>
      <w:r w:rsidR="004B05FE">
        <w:rPr>
          <w:rFonts w:ascii="Times New Roman" w:hAnsi="Times New Roman" w:cs="Times New Roman"/>
        </w:rPr>
        <w:t xml:space="preserve"> získávat</w:t>
      </w:r>
      <w:r w:rsidR="00217A20">
        <w:rPr>
          <w:rFonts w:ascii="Times New Roman" w:hAnsi="Times New Roman" w:cs="Times New Roman"/>
        </w:rPr>
        <w:t>.</w:t>
      </w:r>
    </w:p>
    <w:p w:rsidR="00B31FBB" w:rsidRDefault="00735AE3" w:rsidP="00A040B9">
      <w:pPr>
        <w:pStyle w:val="Odstavecseseznamem"/>
        <w:spacing w:after="0" w:line="30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217A20" w:rsidRPr="00596A35">
        <w:rPr>
          <w:rFonts w:ascii="Times New Roman" w:hAnsi="Times New Roman" w:cs="Times New Roman"/>
          <w:b/>
        </w:rPr>
        <w:t>Fruktosa-2,6-bisfost</w:t>
      </w:r>
      <w:r w:rsidR="004B05FE" w:rsidRPr="00596A35">
        <w:rPr>
          <w:rFonts w:ascii="Times New Roman" w:hAnsi="Times New Roman" w:cs="Times New Roman"/>
          <w:b/>
        </w:rPr>
        <w:t>át</w:t>
      </w:r>
      <w:r w:rsidR="004B05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(F-2,6-bP) </w:t>
      </w:r>
      <w:r w:rsidR="004B05FE">
        <w:rPr>
          <w:rFonts w:ascii="Times New Roman" w:hAnsi="Times New Roman" w:cs="Times New Roman"/>
        </w:rPr>
        <w:t xml:space="preserve">je </w:t>
      </w:r>
      <w:r w:rsidR="003A29C0">
        <w:rPr>
          <w:rFonts w:ascii="Times New Roman" w:hAnsi="Times New Roman" w:cs="Times New Roman"/>
        </w:rPr>
        <w:t>allosterický</w:t>
      </w:r>
      <w:r w:rsidR="004B05FE">
        <w:rPr>
          <w:rFonts w:ascii="Times New Roman" w:hAnsi="Times New Roman" w:cs="Times New Roman"/>
        </w:rPr>
        <w:t xml:space="preserve"> aktivátor a zvyšuje afinitu fosfofruktokinasy k</w:t>
      </w:r>
      <w:r w:rsidR="00FF29AC">
        <w:rPr>
          <w:rFonts w:ascii="Times New Roman" w:hAnsi="Times New Roman" w:cs="Times New Roman"/>
        </w:rPr>
        <w:t> fruktosa</w:t>
      </w:r>
      <w:r w:rsidR="00FF29AC">
        <w:rPr>
          <w:rFonts w:ascii="Times New Roman" w:hAnsi="Times New Roman" w:cs="Times New Roman"/>
        </w:rPr>
        <w:noBreakHyphen/>
        <w:t>6</w:t>
      </w:r>
      <w:r w:rsidR="00FF29AC">
        <w:rPr>
          <w:rFonts w:ascii="Times New Roman" w:hAnsi="Times New Roman" w:cs="Times New Roman"/>
        </w:rPr>
        <w:noBreakHyphen/>
      </w:r>
      <w:r w:rsidR="00596A35">
        <w:rPr>
          <w:rFonts w:ascii="Times New Roman" w:hAnsi="Times New Roman" w:cs="Times New Roman"/>
        </w:rPr>
        <w:t>fosfátu tím, že posouvá konformační rovnováhu ze stavu T do stavu R. Tento důležitý regulátor glykolýzy je regulován dvěma enzymy - fosforylací fruktosa</w:t>
      </w:r>
      <w:r w:rsidR="00596A35">
        <w:rPr>
          <w:rFonts w:ascii="Times New Roman" w:hAnsi="Times New Roman" w:cs="Times New Roman"/>
        </w:rPr>
        <w:noBreakHyphen/>
        <w:t>6</w:t>
      </w:r>
      <w:r w:rsidR="00596A35">
        <w:rPr>
          <w:rFonts w:ascii="Times New Roman" w:hAnsi="Times New Roman" w:cs="Times New Roman"/>
        </w:rPr>
        <w:noBreakHyphen/>
        <w:t xml:space="preserve">fosfátu reakcí katalyzovanou fosfofruktokinasou 2 (PFK2) a defosforylací F-2,6-bP specifickou fosfatasou bisfosfatasou 2 (FBasa 2). </w:t>
      </w:r>
      <w:r w:rsidR="00E71AC8">
        <w:rPr>
          <w:rFonts w:ascii="Times New Roman" w:hAnsi="Times New Roman" w:cs="Times New Roman"/>
        </w:rPr>
        <w:t xml:space="preserve">Ve skutečnosti se jedná o jednořetězcový polypeptid (55 kDa), který obsahuje jak kinasovou, tak fosfatasovou doménu a N-koncovou regulační doménu. </w:t>
      </w:r>
      <w:r w:rsidR="00375EFF">
        <w:rPr>
          <w:rFonts w:ascii="Times New Roman" w:hAnsi="Times New Roman" w:cs="Times New Roman"/>
        </w:rPr>
        <w:t xml:space="preserve">Tento bifunkční enzym se vyskytuje v pěti isoformách lišících se velikostí, kinetikou, imunologickými a regulačními vlastnostmi. </w:t>
      </w:r>
      <w:r w:rsidR="00602635">
        <w:rPr>
          <w:rFonts w:ascii="Times New Roman" w:hAnsi="Times New Roman" w:cs="Times New Roman"/>
        </w:rPr>
        <w:t>Forma L převažuje v játrech a hlídá homeostázu glukosy v krvi, forma M se vyskytuje převážně ve svalech. Je-li tedy vysoká koncentrace glukosy v krvi, zvyšuje se koncentrace</w:t>
      </w:r>
      <w:r w:rsidR="00602635" w:rsidRPr="00602635">
        <w:rPr>
          <w:rFonts w:ascii="Times New Roman" w:hAnsi="Times New Roman" w:cs="Times New Roman"/>
        </w:rPr>
        <w:t xml:space="preserve"> </w:t>
      </w:r>
      <w:r w:rsidR="00602635">
        <w:rPr>
          <w:rFonts w:ascii="Times New Roman" w:hAnsi="Times New Roman" w:cs="Times New Roman"/>
        </w:rPr>
        <w:t>fruktosa</w:t>
      </w:r>
      <w:r w:rsidR="00602635">
        <w:rPr>
          <w:rFonts w:ascii="Times New Roman" w:hAnsi="Times New Roman" w:cs="Times New Roman"/>
        </w:rPr>
        <w:noBreakHyphen/>
        <w:t>6</w:t>
      </w:r>
      <w:r w:rsidR="00602635">
        <w:rPr>
          <w:rFonts w:ascii="Times New Roman" w:hAnsi="Times New Roman" w:cs="Times New Roman"/>
        </w:rPr>
        <w:noBreakHyphen/>
        <w:t>fosfátu v játrech a tím i koncentrace (F</w:t>
      </w:r>
      <w:r w:rsidR="00602635">
        <w:rPr>
          <w:rFonts w:ascii="Times New Roman" w:hAnsi="Times New Roman" w:cs="Times New Roman"/>
        </w:rPr>
        <w:noBreakHyphen/>
        <w:t>2,6</w:t>
      </w:r>
      <w:r w:rsidR="00602635">
        <w:rPr>
          <w:rFonts w:ascii="Times New Roman" w:hAnsi="Times New Roman" w:cs="Times New Roman"/>
        </w:rPr>
        <w:noBreakHyphen/>
        <w:t xml:space="preserve">bP), který následně stimuluje fosfofruktokinasu. Aktivita fosfatasová, stejně tak kinasová je u bifunkčního enzymu </w:t>
      </w:r>
      <w:r w:rsidR="00460F06">
        <w:rPr>
          <w:rFonts w:ascii="Times New Roman" w:hAnsi="Times New Roman" w:cs="Times New Roman"/>
        </w:rPr>
        <w:t xml:space="preserve">vzájemně kontrolována fosforylací serinového zbytku. Touto fosforylací (proteinkinasou A) je aktivita PFK2 </w:t>
      </w:r>
      <w:r w:rsidR="00E2520C">
        <w:rPr>
          <w:rFonts w:ascii="Times New Roman" w:hAnsi="Times New Roman" w:cs="Times New Roman"/>
        </w:rPr>
        <w:t>inhibovaná</w:t>
      </w:r>
      <w:r w:rsidR="00460F06">
        <w:rPr>
          <w:rFonts w:ascii="Times New Roman" w:hAnsi="Times New Roman" w:cs="Times New Roman"/>
        </w:rPr>
        <w:t xml:space="preserve"> a naopak aktivita </w:t>
      </w:r>
      <w:r w:rsidR="00E71AC8">
        <w:rPr>
          <w:rFonts w:ascii="Times New Roman" w:hAnsi="Times New Roman" w:cs="Times New Roman"/>
        </w:rPr>
        <w:t>FBPasy</w:t>
      </w:r>
      <w:r w:rsidR="00E2520C">
        <w:rPr>
          <w:rFonts w:ascii="Times New Roman" w:hAnsi="Times New Roman" w:cs="Times New Roman"/>
        </w:rPr>
        <w:t xml:space="preserve"> 2 aktivovaná. Tento stav </w:t>
      </w:r>
      <w:r w:rsidR="00460F06">
        <w:rPr>
          <w:rFonts w:ascii="Times New Roman" w:hAnsi="Times New Roman" w:cs="Times New Roman"/>
        </w:rPr>
        <w:t>nastává při nízké hladině glukosy, kdy hormon glukagon spouští proteinkinasovou kaskádu přes cAMP. Naopak při vysoké hladině glukosy</w:t>
      </w:r>
      <w:r w:rsidR="00FA49BA">
        <w:rPr>
          <w:rFonts w:ascii="Times New Roman" w:hAnsi="Times New Roman" w:cs="Times New Roman"/>
        </w:rPr>
        <w:t xml:space="preserve"> dochází ke z</w:t>
      </w:r>
      <w:r w:rsidR="00E2520C">
        <w:rPr>
          <w:rFonts w:ascii="Times New Roman" w:hAnsi="Times New Roman" w:cs="Times New Roman"/>
        </w:rPr>
        <w:t>trátě fosfátu na aminokyselinové</w:t>
      </w:r>
      <w:r w:rsidR="00FA49BA">
        <w:rPr>
          <w:rFonts w:ascii="Times New Roman" w:hAnsi="Times New Roman" w:cs="Times New Roman"/>
        </w:rPr>
        <w:t>m zbytku serinu a ke změně aktivit  PFK2 (</w:t>
      </w:r>
      <w:r w:rsidR="00E2520C">
        <w:rPr>
          <w:rFonts w:ascii="Times New Roman" w:hAnsi="Times New Roman" w:cs="Times New Roman"/>
        </w:rPr>
        <w:t>aktivovaná</w:t>
      </w:r>
      <w:r w:rsidR="00FA49BA">
        <w:rPr>
          <w:rFonts w:ascii="Times New Roman" w:hAnsi="Times New Roman" w:cs="Times New Roman"/>
        </w:rPr>
        <w:t>) a FBpasa2 (inhibovaná), a tudíž ke zrychlení procesu glykolýzy</w:t>
      </w:r>
      <w:r w:rsidR="00B31FBB">
        <w:rPr>
          <w:rFonts w:ascii="Times New Roman" w:hAnsi="Times New Roman" w:cs="Times New Roman"/>
        </w:rPr>
        <w:t>.</w:t>
      </w:r>
    </w:p>
    <w:p w:rsidR="00B31FBB" w:rsidRDefault="00B31FBB" w:rsidP="00A040B9">
      <w:pPr>
        <w:pStyle w:val="Odstavecseseznamem"/>
        <w:spacing w:after="0" w:line="300" w:lineRule="auto"/>
        <w:ind w:left="426"/>
        <w:jc w:val="both"/>
        <w:rPr>
          <w:rFonts w:ascii="Times New Roman" w:hAnsi="Times New Roman" w:cs="Times New Roman"/>
          <w:b/>
        </w:rPr>
      </w:pPr>
    </w:p>
    <w:p w:rsidR="00302D49" w:rsidRDefault="007C0E9D" w:rsidP="00A040B9">
      <w:pPr>
        <w:pStyle w:val="Odstavecseseznamem"/>
        <w:numPr>
          <w:ilvl w:val="0"/>
          <w:numId w:val="2"/>
        </w:numPr>
        <w:spacing w:after="0" w:line="30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="008F1524" w:rsidRPr="007C0E9D">
        <w:rPr>
          <w:rFonts w:ascii="Times New Roman" w:hAnsi="Times New Roman" w:cs="Times New Roman"/>
          <w:b/>
        </w:rPr>
        <w:t>yruvátkinasa</w:t>
      </w:r>
      <w:r w:rsidR="00FA49BA">
        <w:rPr>
          <w:rFonts w:ascii="Times New Roman" w:hAnsi="Times New Roman" w:cs="Times New Roman"/>
        </w:rPr>
        <w:t xml:space="preserve"> - enzym katalyzující třetí ireverzibilní krok glykolýzy kontroluje konečný bod této dráhy, který poskytuje ATP a pyruvát. Opět existuje několik isoforem tohoto enzymu, L typ převažuje v játrech a M typ ve svalech a mozku a mají mnoho důležitých vlastností.</w:t>
      </w:r>
      <w:r>
        <w:rPr>
          <w:rFonts w:ascii="Times New Roman" w:hAnsi="Times New Roman" w:cs="Times New Roman"/>
        </w:rPr>
        <w:t xml:space="preserve"> Oba vážou fosfoenolpyruvát, jsou aktivovány </w:t>
      </w:r>
      <w:proofErr w:type="gramStart"/>
      <w:r>
        <w:rPr>
          <w:rFonts w:ascii="Times New Roman" w:hAnsi="Times New Roman" w:cs="Times New Roman"/>
        </w:rPr>
        <w:t>fruktosa-1,6-bisfosfátem</w:t>
      </w:r>
      <w:proofErr w:type="gramEnd"/>
      <w:r>
        <w:rPr>
          <w:rFonts w:ascii="Times New Roman" w:hAnsi="Times New Roman" w:cs="Times New Roman"/>
        </w:rPr>
        <w:t xml:space="preserve"> a allostericky inhibovány ATP a také alaninem, který je z pyruvátu syntetizován (signál dostatku stavebních kamenů).</w:t>
      </w:r>
      <w:r w:rsidR="0029073F">
        <w:rPr>
          <w:rFonts w:ascii="Times New Roman" w:hAnsi="Times New Roman" w:cs="Times New Roman"/>
        </w:rPr>
        <w:t xml:space="preserve"> K</w:t>
      </w:r>
      <w:r w:rsidR="006B6C11">
        <w:rPr>
          <w:rFonts w:ascii="Times New Roman" w:hAnsi="Times New Roman" w:cs="Times New Roman"/>
        </w:rPr>
        <w:t>atalytické vlastnosti jsou kontrolovány u L formy (nikoliv však u M formy) taktéž fosforylací. Je-li tedy hladina glukosy v krvi nízká,</w:t>
      </w:r>
      <w:r w:rsidR="0029073F">
        <w:rPr>
          <w:rFonts w:ascii="Times New Roman" w:hAnsi="Times New Roman" w:cs="Times New Roman"/>
        </w:rPr>
        <w:t xml:space="preserve"> </w:t>
      </w:r>
      <w:r w:rsidR="006B6C11">
        <w:rPr>
          <w:rFonts w:ascii="Times New Roman" w:hAnsi="Times New Roman" w:cs="Times New Roman"/>
        </w:rPr>
        <w:t>glukagon spouští kaskádu AMP vedoucí k fosfo</w:t>
      </w:r>
      <w:r w:rsidR="0029073F">
        <w:rPr>
          <w:rFonts w:ascii="Times New Roman" w:hAnsi="Times New Roman" w:cs="Times New Roman"/>
        </w:rPr>
        <w:t xml:space="preserve">rylaci </w:t>
      </w:r>
      <w:r w:rsidR="00B33A8F">
        <w:rPr>
          <w:rFonts w:ascii="Times New Roman" w:hAnsi="Times New Roman" w:cs="Times New Roman"/>
        </w:rPr>
        <w:t xml:space="preserve">také </w:t>
      </w:r>
      <w:r w:rsidR="00E71AC8">
        <w:rPr>
          <w:rFonts w:ascii="Times New Roman" w:hAnsi="Times New Roman" w:cs="Times New Roman"/>
        </w:rPr>
        <w:t>pyruvátkinasy</w:t>
      </w:r>
      <w:r w:rsidR="0029073F">
        <w:rPr>
          <w:rFonts w:ascii="Times New Roman" w:hAnsi="Times New Roman" w:cs="Times New Roman"/>
        </w:rPr>
        <w:t xml:space="preserve"> snižující </w:t>
      </w:r>
      <w:r w:rsidR="00B33A8F">
        <w:rPr>
          <w:rFonts w:ascii="Times New Roman" w:hAnsi="Times New Roman" w:cs="Times New Roman"/>
        </w:rPr>
        <w:t>její aktivitu. Tyto</w:t>
      </w:r>
      <w:r w:rsidR="006B6C11">
        <w:rPr>
          <w:rFonts w:ascii="Times New Roman" w:hAnsi="Times New Roman" w:cs="Times New Roman"/>
        </w:rPr>
        <w:t xml:space="preserve"> hormonem</w:t>
      </w:r>
      <w:r w:rsidR="00B33A8F">
        <w:rPr>
          <w:rFonts w:ascii="Times New Roman" w:hAnsi="Times New Roman" w:cs="Times New Roman"/>
        </w:rPr>
        <w:t xml:space="preserve"> spouštěné fosforylace</w:t>
      </w:r>
      <w:r w:rsidR="006B6C11">
        <w:rPr>
          <w:rFonts w:ascii="Times New Roman" w:hAnsi="Times New Roman" w:cs="Times New Roman"/>
        </w:rPr>
        <w:t xml:space="preserve"> </w:t>
      </w:r>
      <w:r w:rsidR="00AD7733">
        <w:rPr>
          <w:rFonts w:ascii="Times New Roman" w:hAnsi="Times New Roman" w:cs="Times New Roman"/>
        </w:rPr>
        <w:t xml:space="preserve">(stejně tak jako </w:t>
      </w:r>
      <w:r w:rsidR="006B6C11">
        <w:rPr>
          <w:rFonts w:ascii="Times New Roman" w:hAnsi="Times New Roman" w:cs="Times New Roman"/>
        </w:rPr>
        <w:t xml:space="preserve">kontrolovaný proces </w:t>
      </w:r>
      <w:r w:rsidR="000E1A6F">
        <w:rPr>
          <w:rFonts w:ascii="Times New Roman" w:hAnsi="Times New Roman" w:cs="Times New Roman"/>
        </w:rPr>
        <w:t xml:space="preserve">hladiny </w:t>
      </w:r>
      <w:proofErr w:type="gramStart"/>
      <w:r w:rsidR="000E1A6F">
        <w:rPr>
          <w:rFonts w:ascii="Times New Roman" w:hAnsi="Times New Roman" w:cs="Times New Roman"/>
        </w:rPr>
        <w:t>fruktosa-2,6-fosfátu</w:t>
      </w:r>
      <w:proofErr w:type="gramEnd"/>
      <w:r w:rsidR="000E1A6F">
        <w:rPr>
          <w:rFonts w:ascii="Times New Roman" w:hAnsi="Times New Roman" w:cs="Times New Roman"/>
        </w:rPr>
        <w:t xml:space="preserve"> </w:t>
      </w:r>
      <w:r w:rsidR="00AD7733">
        <w:rPr>
          <w:rFonts w:ascii="Times New Roman" w:hAnsi="Times New Roman" w:cs="Times New Roman"/>
        </w:rPr>
        <w:t xml:space="preserve">u bifunkčního enzymu) </w:t>
      </w:r>
      <w:r w:rsidR="006B6C11">
        <w:rPr>
          <w:rFonts w:ascii="Times New Roman" w:hAnsi="Times New Roman" w:cs="Times New Roman"/>
        </w:rPr>
        <w:t>předchází spotřebě glukosy v já</w:t>
      </w:r>
      <w:r w:rsidR="00AD7733">
        <w:rPr>
          <w:rFonts w:ascii="Times New Roman" w:hAnsi="Times New Roman" w:cs="Times New Roman"/>
        </w:rPr>
        <w:t>trech, když je v tu chvíli víc potřebná</w:t>
      </w:r>
      <w:r w:rsidR="006B6C11">
        <w:rPr>
          <w:rFonts w:ascii="Times New Roman" w:hAnsi="Times New Roman" w:cs="Times New Roman"/>
        </w:rPr>
        <w:t xml:space="preserve"> pro mozek a svaly.</w:t>
      </w:r>
    </w:p>
    <w:p w:rsidR="00AD7733" w:rsidRPr="00AD7733" w:rsidRDefault="00AD7733" w:rsidP="00A040B9">
      <w:pPr>
        <w:pStyle w:val="Odstavecseseznamem"/>
        <w:spacing w:after="0" w:line="300" w:lineRule="auto"/>
        <w:ind w:left="426"/>
        <w:jc w:val="both"/>
        <w:rPr>
          <w:rFonts w:ascii="Times New Roman" w:hAnsi="Times New Roman" w:cs="Times New Roman"/>
        </w:rPr>
      </w:pPr>
    </w:p>
    <w:p w:rsidR="00AD7733" w:rsidRPr="00AD7733" w:rsidRDefault="00AD7733" w:rsidP="00A040B9">
      <w:pPr>
        <w:pStyle w:val="Odstavecseseznamem"/>
        <w:spacing w:after="0" w:line="300" w:lineRule="auto"/>
        <w:jc w:val="both"/>
        <w:rPr>
          <w:rFonts w:ascii="Times New Roman" w:hAnsi="Times New Roman" w:cs="Times New Roman"/>
        </w:rPr>
      </w:pPr>
    </w:p>
    <w:p w:rsidR="00AD7733" w:rsidRDefault="00AD7733" w:rsidP="00A040B9">
      <w:pPr>
        <w:pStyle w:val="Odstavecseseznamem"/>
        <w:spacing w:after="0" w:line="300" w:lineRule="auto"/>
        <w:ind w:left="0"/>
        <w:jc w:val="both"/>
        <w:rPr>
          <w:rFonts w:ascii="Times New Roman" w:hAnsi="Times New Roman" w:cs="Times New Roman"/>
        </w:rPr>
      </w:pPr>
      <w:r w:rsidRPr="00AD7733">
        <w:rPr>
          <w:rFonts w:ascii="Times New Roman" w:hAnsi="Times New Roman" w:cs="Times New Roman"/>
          <w:b/>
        </w:rPr>
        <w:t>Gl</w:t>
      </w:r>
      <w:r>
        <w:rPr>
          <w:rFonts w:ascii="Times New Roman" w:hAnsi="Times New Roman" w:cs="Times New Roman"/>
          <w:b/>
        </w:rPr>
        <w:t>ukoneogeneze</w:t>
      </w:r>
      <w:r w:rsidRPr="00AD7733">
        <w:rPr>
          <w:rFonts w:ascii="Times New Roman" w:hAnsi="Times New Roman" w:cs="Times New Roman"/>
        </w:rPr>
        <w:t xml:space="preserve"> je </w:t>
      </w:r>
      <w:r w:rsidR="003A5B2B">
        <w:rPr>
          <w:rFonts w:ascii="Times New Roman" w:hAnsi="Times New Roman" w:cs="Times New Roman"/>
        </w:rPr>
        <w:t>metabolická dráha</w:t>
      </w:r>
      <w:r w:rsidRPr="00AD77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syntézy glukózy z necukerných prekurzorů</w:t>
      </w:r>
      <w:r w:rsidR="00F07F87">
        <w:rPr>
          <w:rFonts w:ascii="Times New Roman" w:hAnsi="Times New Roman" w:cs="Times New Roman"/>
        </w:rPr>
        <w:t xml:space="preserve">. </w:t>
      </w:r>
      <w:r w:rsidR="003A5B2B">
        <w:rPr>
          <w:rFonts w:ascii="Times New Roman" w:hAnsi="Times New Roman" w:cs="Times New Roman"/>
        </w:rPr>
        <w:t xml:space="preserve">Hlavním místem tohoto procesu jsou játra, v malé míře také ledviny a mozek, kosterní a srdeční svalstvo. </w:t>
      </w:r>
      <w:r w:rsidR="00F07F87">
        <w:rPr>
          <w:rFonts w:ascii="Times New Roman" w:hAnsi="Times New Roman" w:cs="Times New Roman"/>
        </w:rPr>
        <w:t>Dochází tedy ke konverzi pyruvátu na glukózu. Necukerné prekurzory, jako je například laktát, aminokyseliny a glycerol jsou nejdříve p</w:t>
      </w:r>
      <w:r w:rsidR="003A5B2B">
        <w:rPr>
          <w:rFonts w:ascii="Times New Roman" w:hAnsi="Times New Roman" w:cs="Times New Roman"/>
        </w:rPr>
        <w:t>řeměně</w:t>
      </w:r>
      <w:r w:rsidR="00F07F87">
        <w:rPr>
          <w:rFonts w:ascii="Times New Roman" w:hAnsi="Times New Roman" w:cs="Times New Roman"/>
        </w:rPr>
        <w:t xml:space="preserve">ny na pyruvát. </w:t>
      </w:r>
      <w:r w:rsidR="003A5B2B">
        <w:rPr>
          <w:rFonts w:ascii="Times New Roman" w:hAnsi="Times New Roman" w:cs="Times New Roman"/>
        </w:rPr>
        <w:t>Glukoneogeneze však</w:t>
      </w:r>
      <w:r w:rsidR="00225B66">
        <w:rPr>
          <w:rFonts w:ascii="Times New Roman" w:hAnsi="Times New Roman" w:cs="Times New Roman"/>
        </w:rPr>
        <w:t xml:space="preserve"> není zvratem glykolýzy, u které je rovnováha posunuta ve prospěch tvorby pyruvátu. V dráze glukoneogeneze tudíž musejí být odlišné reakce, které tuto skutečnost obcházejí. Jedná se o tři </w:t>
      </w:r>
      <w:r w:rsidR="00E71AC8">
        <w:rPr>
          <w:rFonts w:ascii="Times New Roman" w:hAnsi="Times New Roman" w:cs="Times New Roman"/>
        </w:rPr>
        <w:t>ireverzibilní</w:t>
      </w:r>
      <w:r w:rsidR="00225B66">
        <w:rPr>
          <w:rFonts w:ascii="Times New Roman" w:hAnsi="Times New Roman" w:cs="Times New Roman"/>
        </w:rPr>
        <w:t xml:space="preserve"> kroky, které se v v tomto procesu liší:</w:t>
      </w:r>
    </w:p>
    <w:p w:rsidR="00225B66" w:rsidRDefault="00225B66" w:rsidP="00A040B9">
      <w:pPr>
        <w:pStyle w:val="Odstavecseseznamem"/>
        <w:spacing w:after="0" w:line="30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71AC8">
        <w:rPr>
          <w:rFonts w:ascii="Times New Roman" w:hAnsi="Times New Roman" w:cs="Times New Roman"/>
          <w:b/>
        </w:rPr>
        <w:t>Pyruvá</w:t>
      </w:r>
      <w:r w:rsidR="00E71AC8" w:rsidRPr="00225B66">
        <w:rPr>
          <w:rFonts w:ascii="Times New Roman" w:hAnsi="Times New Roman" w:cs="Times New Roman"/>
          <w:b/>
        </w:rPr>
        <w:t>tkarboxylasa</w:t>
      </w:r>
      <w:r w:rsidRPr="00225B66">
        <w:rPr>
          <w:rFonts w:ascii="Times New Roman" w:hAnsi="Times New Roman" w:cs="Times New Roman"/>
          <w:b/>
        </w:rPr>
        <w:t xml:space="preserve"> a fosfoenolpyruvátkarboxykinasa</w:t>
      </w:r>
      <w:r>
        <w:rPr>
          <w:rFonts w:ascii="Times New Roman" w:hAnsi="Times New Roman" w:cs="Times New Roman"/>
        </w:rPr>
        <w:t xml:space="preserve"> jsou enzymy katalyzující reakci tvorby fosfoenolpyruvátu z pyruvátu přes oxaloacetát.</w:t>
      </w:r>
      <w:r w:rsidR="002D1C3D">
        <w:rPr>
          <w:rFonts w:ascii="Times New Roman" w:hAnsi="Times New Roman" w:cs="Times New Roman"/>
        </w:rPr>
        <w:t xml:space="preserve"> </w:t>
      </w:r>
    </w:p>
    <w:p w:rsidR="00225B66" w:rsidRDefault="00225B66" w:rsidP="00A040B9">
      <w:pPr>
        <w:pStyle w:val="Odstavecseseznamem"/>
        <w:spacing w:after="0" w:line="30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  <w:t>Fruktosa-1,6-bisfosfatasa</w:t>
      </w:r>
      <w:r>
        <w:rPr>
          <w:rFonts w:ascii="Times New Roman" w:hAnsi="Times New Roman" w:cs="Times New Roman"/>
        </w:rPr>
        <w:t xml:space="preserve"> katalyzuje reakci </w:t>
      </w:r>
      <w:r w:rsidR="002D1C3D">
        <w:rPr>
          <w:rFonts w:ascii="Times New Roman" w:hAnsi="Times New Roman" w:cs="Times New Roman"/>
        </w:rPr>
        <w:t>exergonické hydrolýzy fruktosa-1,6-bisfosfátu za vzniku fruktosa-6-fosfátu.</w:t>
      </w:r>
      <w:r w:rsidR="00CD678A">
        <w:rPr>
          <w:rFonts w:ascii="Times New Roman" w:hAnsi="Times New Roman" w:cs="Times New Roman"/>
        </w:rPr>
        <w:t xml:space="preserve"> Allosterický enzym aktivován citrátem, inhibován fruktosa-2,6-bisfosfátem a AMP.</w:t>
      </w:r>
    </w:p>
    <w:p w:rsidR="002D1C3D" w:rsidRDefault="002D1C3D" w:rsidP="00A040B9">
      <w:pPr>
        <w:pStyle w:val="Odstavecseseznamem"/>
        <w:spacing w:after="0" w:line="30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  <w:b/>
        </w:rPr>
        <w:tab/>
        <w:t>Glukosa-6-fosfatasa</w:t>
      </w:r>
      <w:r>
        <w:rPr>
          <w:rFonts w:ascii="Times New Roman" w:hAnsi="Times New Roman" w:cs="Times New Roman"/>
        </w:rPr>
        <w:t xml:space="preserve"> katalyzuje reakci vzniku glukosy hydrolýzou glukosa-6-fosfátu.</w:t>
      </w:r>
    </w:p>
    <w:p w:rsidR="002D1C3D" w:rsidRDefault="002D1C3D" w:rsidP="00A040B9">
      <w:pPr>
        <w:pStyle w:val="Odstavecseseznamem"/>
        <w:spacing w:after="0" w:line="300" w:lineRule="auto"/>
        <w:ind w:left="426" w:hanging="284"/>
        <w:jc w:val="both"/>
        <w:rPr>
          <w:rFonts w:ascii="Times New Roman" w:hAnsi="Times New Roman" w:cs="Times New Roman"/>
        </w:rPr>
      </w:pPr>
    </w:p>
    <w:p w:rsidR="00571204" w:rsidRDefault="00E71AC8" w:rsidP="00A040B9">
      <w:pPr>
        <w:pStyle w:val="Odstavecseseznamem"/>
        <w:spacing w:after="0" w:line="300" w:lineRule="auto"/>
        <w:ind w:left="0"/>
        <w:jc w:val="both"/>
        <w:rPr>
          <w:rFonts w:ascii="Times New Roman" w:hAnsi="Times New Roman" w:cs="Times New Roman"/>
        </w:rPr>
      </w:pPr>
      <w:r w:rsidRPr="00225B66">
        <w:rPr>
          <w:rFonts w:ascii="Times New Roman" w:hAnsi="Times New Roman" w:cs="Times New Roman"/>
          <w:b/>
        </w:rPr>
        <w:lastRenderedPageBreak/>
        <w:t>Pyruvátkarboxylasa</w:t>
      </w:r>
      <w:r w:rsidR="002D1C3D">
        <w:rPr>
          <w:rFonts w:ascii="Times New Roman" w:hAnsi="Times New Roman" w:cs="Times New Roman"/>
          <w:b/>
        </w:rPr>
        <w:t xml:space="preserve"> </w:t>
      </w:r>
      <w:r w:rsidR="002D1C3D">
        <w:rPr>
          <w:rFonts w:ascii="Times New Roman" w:hAnsi="Times New Roman" w:cs="Times New Roman"/>
        </w:rPr>
        <w:t>je enzym mitochondriální</w:t>
      </w:r>
      <w:r w:rsidR="00CD7AD0">
        <w:rPr>
          <w:rFonts w:ascii="Times New Roman" w:hAnsi="Times New Roman" w:cs="Times New Roman"/>
        </w:rPr>
        <w:t>, ostatní enzymy jsou cytoplasmatické. Katalyzuje reakci karboxylace pyruvátu za vzniku oxaloacetátu za spotřeby ATP. Jedná se o enzym, který zprostředkovává karboxylaci za účasti biotinu jako prostetické skupiny.</w:t>
      </w:r>
      <w:r w:rsidR="00571204">
        <w:rPr>
          <w:rFonts w:ascii="Times New Roman" w:hAnsi="Times New Roman" w:cs="Times New Roman"/>
        </w:rPr>
        <w:t xml:space="preserve"> První krok tvorby karboxybiotinu záleží na přítomnosti acetylCoA, biotin totiž není karboxylován, pokud není acetyl CoA vázán na enzym. Jedná se o allosterickou aktivaci.</w:t>
      </w:r>
      <w:r w:rsidR="00C45873">
        <w:rPr>
          <w:rFonts w:ascii="Times New Roman" w:hAnsi="Times New Roman" w:cs="Times New Roman"/>
        </w:rPr>
        <w:t xml:space="preserve"> </w:t>
      </w:r>
      <w:r w:rsidR="00571204">
        <w:rPr>
          <w:rFonts w:ascii="Times New Roman" w:hAnsi="Times New Roman" w:cs="Times New Roman"/>
        </w:rPr>
        <w:t xml:space="preserve">Oxaloacetát vznikající </w:t>
      </w:r>
      <w:r w:rsidR="00C45873">
        <w:rPr>
          <w:rFonts w:ascii="Times New Roman" w:hAnsi="Times New Roman" w:cs="Times New Roman"/>
        </w:rPr>
        <w:t xml:space="preserve">reakcí pyruvátkarboxylasy v mitochondriích je redukován na malát, transportován skrz membránu do cytosolu a tam reoxidován na oxaloacetát. Ten je následně dekarboxylován a fosforylován  za katalýzy </w:t>
      </w:r>
      <w:r w:rsidR="00C45873">
        <w:rPr>
          <w:rFonts w:ascii="Times New Roman" w:hAnsi="Times New Roman" w:cs="Times New Roman"/>
          <w:b/>
        </w:rPr>
        <w:t>f</w:t>
      </w:r>
      <w:r w:rsidR="00C45873" w:rsidRPr="00225B66">
        <w:rPr>
          <w:rFonts w:ascii="Times New Roman" w:hAnsi="Times New Roman" w:cs="Times New Roman"/>
          <w:b/>
        </w:rPr>
        <w:t>osfoenolpyruvátkarboxykinas</w:t>
      </w:r>
      <w:r w:rsidR="00C45873">
        <w:rPr>
          <w:rFonts w:ascii="Times New Roman" w:hAnsi="Times New Roman" w:cs="Times New Roman"/>
          <w:b/>
        </w:rPr>
        <w:t xml:space="preserve">y, </w:t>
      </w:r>
      <w:r w:rsidR="00C45873" w:rsidRPr="00C45873">
        <w:rPr>
          <w:rFonts w:ascii="Times New Roman" w:hAnsi="Times New Roman" w:cs="Times New Roman"/>
        </w:rPr>
        <w:t>kdy dochází</w:t>
      </w:r>
      <w:r w:rsidR="00C45873">
        <w:rPr>
          <w:rFonts w:ascii="Times New Roman" w:hAnsi="Times New Roman" w:cs="Times New Roman"/>
        </w:rPr>
        <w:t xml:space="preserve"> k uvolnění </w:t>
      </w:r>
      <w:r w:rsidR="00CF5C3E">
        <w:rPr>
          <w:rFonts w:ascii="Times New Roman" w:hAnsi="Times New Roman" w:cs="Times New Roman"/>
        </w:rPr>
        <w:t>oxidu uhliči</w:t>
      </w:r>
      <w:r w:rsidR="00C45873">
        <w:rPr>
          <w:rFonts w:ascii="Times New Roman" w:hAnsi="Times New Roman" w:cs="Times New Roman"/>
        </w:rPr>
        <w:t>tého</w:t>
      </w:r>
      <w:r w:rsidR="00CF5C3E">
        <w:rPr>
          <w:rFonts w:ascii="Times New Roman" w:hAnsi="Times New Roman" w:cs="Times New Roman"/>
        </w:rPr>
        <w:t xml:space="preserve">, což pohání reakci GTP a oxaloacetátu za vzniku fosfoenolpyruvátu. Dále je fosfoenolpyruvát metabolizován za účasti enzymů glykolýzy v opačném </w:t>
      </w:r>
      <w:r w:rsidR="00CD678A">
        <w:rPr>
          <w:rFonts w:ascii="Times New Roman" w:hAnsi="Times New Roman" w:cs="Times New Roman"/>
        </w:rPr>
        <w:t>směru až k místu dalšího ireverzibilního kroku, kdy je fruktosa-1,6-</w:t>
      </w:r>
      <w:r>
        <w:rPr>
          <w:rFonts w:ascii="Times New Roman" w:hAnsi="Times New Roman" w:cs="Times New Roman"/>
        </w:rPr>
        <w:t>bisfosfát</w:t>
      </w:r>
      <w:r w:rsidR="00CD678A">
        <w:rPr>
          <w:rFonts w:ascii="Times New Roman" w:hAnsi="Times New Roman" w:cs="Times New Roman"/>
        </w:rPr>
        <w:t xml:space="preserve"> hydrolyzován za účasti </w:t>
      </w:r>
      <w:r w:rsidR="00CD678A">
        <w:rPr>
          <w:rFonts w:ascii="Times New Roman" w:hAnsi="Times New Roman" w:cs="Times New Roman"/>
          <w:b/>
        </w:rPr>
        <w:t>fruktosa-1,6-bisfosfatasy</w:t>
      </w:r>
      <w:r w:rsidR="00CD678A" w:rsidRPr="00CD678A">
        <w:rPr>
          <w:rFonts w:ascii="Times New Roman" w:hAnsi="Times New Roman" w:cs="Times New Roman"/>
        </w:rPr>
        <w:t xml:space="preserve"> na</w:t>
      </w:r>
      <w:r w:rsidR="00CD678A">
        <w:rPr>
          <w:rFonts w:ascii="Times New Roman" w:hAnsi="Times New Roman" w:cs="Times New Roman"/>
          <w:b/>
        </w:rPr>
        <w:t xml:space="preserve"> </w:t>
      </w:r>
      <w:r w:rsidR="00CD678A">
        <w:rPr>
          <w:rFonts w:ascii="Times New Roman" w:hAnsi="Times New Roman" w:cs="Times New Roman"/>
        </w:rPr>
        <w:t>fruktosa-6-fosfát a P</w:t>
      </w:r>
      <w:r w:rsidR="00CD678A">
        <w:rPr>
          <w:rFonts w:ascii="Times New Roman" w:hAnsi="Times New Roman" w:cs="Times New Roman"/>
          <w:vertAlign w:val="subscript"/>
        </w:rPr>
        <w:t>i</w:t>
      </w:r>
      <w:r w:rsidR="00CD678A">
        <w:rPr>
          <w:rFonts w:ascii="Times New Roman" w:hAnsi="Times New Roman" w:cs="Times New Roman"/>
        </w:rPr>
        <w:t xml:space="preserve">. V dalším kroku dochází ke konverzi na glukosa-6-fosfát, kdy v mnoha tkáních proces glukoneogeneze </w:t>
      </w:r>
      <w:r w:rsidR="00F81D7C">
        <w:rPr>
          <w:rFonts w:ascii="Times New Roman" w:hAnsi="Times New Roman" w:cs="Times New Roman"/>
        </w:rPr>
        <w:t>takto</w:t>
      </w:r>
      <w:r w:rsidR="00CD678A">
        <w:rPr>
          <w:rFonts w:ascii="Times New Roman" w:hAnsi="Times New Roman" w:cs="Times New Roman"/>
        </w:rPr>
        <w:t xml:space="preserve"> končí. </w:t>
      </w:r>
      <w:r w:rsidR="00D62CC1">
        <w:rPr>
          <w:rFonts w:ascii="Times New Roman" w:hAnsi="Times New Roman" w:cs="Times New Roman"/>
        </w:rPr>
        <w:t>A takto modifikovaná glukosa nemůže difundovat přes membrány. Proto existují regulační mechanismy, které hlídají a regulují proces tvorby volné glukosy, aby byla</w:t>
      </w:r>
      <w:r w:rsidR="00D62CC1" w:rsidRPr="00D62CC1">
        <w:rPr>
          <w:rFonts w:ascii="Times New Roman" w:hAnsi="Times New Roman" w:cs="Times New Roman"/>
        </w:rPr>
        <w:t xml:space="preserve"> </w:t>
      </w:r>
      <w:r w:rsidR="00D62CC1">
        <w:rPr>
          <w:rFonts w:ascii="Times New Roman" w:hAnsi="Times New Roman" w:cs="Times New Roman"/>
        </w:rPr>
        <w:t xml:space="preserve">udržována hladina glukosy v buňce. </w:t>
      </w:r>
      <w:r>
        <w:rPr>
          <w:rFonts w:ascii="Times New Roman" w:hAnsi="Times New Roman" w:cs="Times New Roman"/>
        </w:rPr>
        <w:t xml:space="preserve">První z nich je enzym </w:t>
      </w:r>
      <w:r>
        <w:rPr>
          <w:rFonts w:ascii="Times New Roman" w:hAnsi="Times New Roman" w:cs="Times New Roman"/>
          <w:b/>
        </w:rPr>
        <w:t>glukosa</w:t>
      </w:r>
      <w:r>
        <w:rPr>
          <w:rFonts w:ascii="Times New Roman" w:hAnsi="Times New Roman" w:cs="Times New Roman"/>
          <w:b/>
        </w:rPr>
        <w:noBreakHyphen/>
        <w:t>6</w:t>
      </w:r>
      <w:r>
        <w:rPr>
          <w:rFonts w:ascii="Times New Roman" w:hAnsi="Times New Roman" w:cs="Times New Roman"/>
          <w:b/>
        </w:rPr>
        <w:noBreakHyphen/>
        <w:t xml:space="preserve">fosfatasa </w:t>
      </w:r>
      <w:r>
        <w:rPr>
          <w:rFonts w:ascii="Times New Roman" w:hAnsi="Times New Roman" w:cs="Times New Roman"/>
        </w:rPr>
        <w:t xml:space="preserve">zodpovědný za tvorbu volné glukosy a ten je regulován, druhým je skutečnost, že tento enzym je přítomen pouze ve tkáních, kde je potřeba udržovat homeostázu glukosy v krvi a tudíž musí docházet k uvolňování glukosy z buněk do jejich okolního prostředí (do krve). </w:t>
      </w:r>
      <w:r w:rsidR="003C7801">
        <w:rPr>
          <w:rFonts w:ascii="Times New Roman" w:hAnsi="Times New Roman" w:cs="Times New Roman"/>
        </w:rPr>
        <w:t xml:space="preserve">Jedná se hlavně o játra a v menší míře o ledviny. Tvorba glukosy se neodehrává v cytosolu ale v lumen endoplazmatického retikula, kde je enzym </w:t>
      </w:r>
      <w:r w:rsidR="003C7801">
        <w:rPr>
          <w:rFonts w:ascii="Times New Roman" w:hAnsi="Times New Roman" w:cs="Times New Roman"/>
          <w:b/>
        </w:rPr>
        <w:t>glukosa</w:t>
      </w:r>
      <w:r w:rsidR="003C7801">
        <w:rPr>
          <w:rFonts w:ascii="Times New Roman" w:hAnsi="Times New Roman" w:cs="Times New Roman"/>
          <w:b/>
        </w:rPr>
        <w:noBreakHyphen/>
        <w:t>6</w:t>
      </w:r>
      <w:r w:rsidR="003C7801">
        <w:rPr>
          <w:rFonts w:ascii="Times New Roman" w:hAnsi="Times New Roman" w:cs="Times New Roman"/>
          <w:b/>
        </w:rPr>
        <w:noBreakHyphen/>
        <w:t>fosfatasa</w:t>
      </w:r>
      <w:r w:rsidR="003C7801" w:rsidRPr="003C7801">
        <w:rPr>
          <w:rFonts w:ascii="Times New Roman" w:hAnsi="Times New Roman" w:cs="Times New Roman"/>
        </w:rPr>
        <w:t xml:space="preserve"> vázán </w:t>
      </w:r>
      <w:r w:rsidR="003C7801">
        <w:rPr>
          <w:rFonts w:ascii="Times New Roman" w:hAnsi="Times New Roman" w:cs="Times New Roman"/>
        </w:rPr>
        <w:t>přímo k membráně a jeho fosfatasová aktivita je stabilizována Ca</w:t>
      </w:r>
      <w:r w:rsidR="003C7801">
        <w:rPr>
          <w:rFonts w:ascii="Times New Roman" w:hAnsi="Times New Roman" w:cs="Times New Roman"/>
          <w:vertAlign w:val="superscript"/>
        </w:rPr>
        <w:t>2+</w:t>
      </w:r>
      <w:r w:rsidR="003C7801">
        <w:rPr>
          <w:rFonts w:ascii="Times New Roman" w:hAnsi="Times New Roman" w:cs="Times New Roman"/>
        </w:rPr>
        <w:t xml:space="preserve"> -vazebným proteinem. Následně je glukosy zpět transportována do cytosolu párem transportérů.</w:t>
      </w:r>
    </w:p>
    <w:p w:rsidR="00815BE5" w:rsidRDefault="00815BE5" w:rsidP="00A040B9">
      <w:pPr>
        <w:pStyle w:val="Odstavecseseznamem"/>
        <w:spacing w:after="0" w:line="300" w:lineRule="auto"/>
        <w:ind w:left="0"/>
        <w:jc w:val="both"/>
        <w:rPr>
          <w:rFonts w:ascii="Times New Roman" w:hAnsi="Times New Roman" w:cs="Times New Roman"/>
        </w:rPr>
      </w:pPr>
    </w:p>
    <w:p w:rsidR="00A040B9" w:rsidRDefault="00A040B9" w:rsidP="00A040B9">
      <w:pPr>
        <w:pStyle w:val="Odstavecseseznamem"/>
        <w:spacing w:after="0" w:line="300" w:lineRule="auto"/>
        <w:ind w:left="0"/>
        <w:jc w:val="both"/>
        <w:rPr>
          <w:rFonts w:ascii="Times New Roman" w:hAnsi="Times New Roman" w:cs="Times New Roman"/>
        </w:rPr>
      </w:pPr>
    </w:p>
    <w:p w:rsidR="003C7801" w:rsidRDefault="006027C1" w:rsidP="00A040B9">
      <w:pPr>
        <w:pStyle w:val="Odstavecseseznamem"/>
        <w:spacing w:after="0" w:line="300" w:lineRule="auto"/>
        <w:ind w:left="0"/>
        <w:jc w:val="center"/>
        <w:rPr>
          <w:rFonts w:ascii="Times New Roman" w:hAnsi="Times New Roman" w:cs="Times New Roman"/>
        </w:rPr>
      </w:pPr>
      <w:r w:rsidRPr="006027C1">
        <w:rPr>
          <w:rFonts w:ascii="Times New Roman" w:hAnsi="Times New Roman" w:cs="Times New Roman"/>
        </w:rPr>
        <w:drawing>
          <wp:inline distT="0" distB="0" distL="0" distR="0">
            <wp:extent cx="3752491" cy="3338423"/>
            <wp:effectExtent l="19050" t="0" r="359" b="0"/>
            <wp:docPr id="6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36704" cy="6336704"/>
                      <a:chOff x="1259632" y="260648"/>
                      <a:chExt cx="6336704" cy="6336704"/>
                    </a:xfrm>
                  </a:grpSpPr>
                  <a:grpSp>
                    <a:nvGrpSpPr>
                      <a:cNvPr id="37" name="Skupina 36"/>
                      <a:cNvGrpSpPr/>
                    </a:nvGrpSpPr>
                    <a:grpSpPr>
                      <a:xfrm>
                        <a:off x="1259632" y="260648"/>
                        <a:ext cx="6336704" cy="6336704"/>
                        <a:chOff x="1259632" y="260648"/>
                        <a:chExt cx="6336704" cy="6336704"/>
                      </a:xfrm>
                    </a:grpSpPr>
                    <a:sp>
                      <a:nvSpPr>
                        <a:cNvPr id="30" name="Zaoblený obdélník 29"/>
                        <a:cNvSpPr/>
                      </a:nvSpPr>
                      <a:spPr>
                        <a:xfrm>
                          <a:off x="1259632" y="260648"/>
                          <a:ext cx="6336704" cy="6336704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cs-CZ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cs-CZ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4" name="Skupina 35"/>
                        <a:cNvGrpSpPr/>
                      </a:nvGrpSpPr>
                      <a:grpSpPr>
                        <a:xfrm>
                          <a:off x="1259632" y="764704"/>
                          <a:ext cx="5753326" cy="5203160"/>
                          <a:chOff x="1259632" y="764704"/>
                          <a:chExt cx="5753326" cy="5203160"/>
                        </a:xfrm>
                      </a:grpSpPr>
                      <a:grpSp>
                        <a:nvGrpSpPr>
                          <a:cNvPr id="5" name="Skupina 28"/>
                          <a:cNvGrpSpPr/>
                        </a:nvGrpSpPr>
                        <a:grpSpPr>
                          <a:xfrm>
                            <a:off x="1259632" y="764704"/>
                            <a:ext cx="5753326" cy="5203160"/>
                            <a:chOff x="1319178" y="755412"/>
                            <a:chExt cx="5753326" cy="5203160"/>
                          </a:xfrm>
                        </a:grpSpPr>
                        <a:sp>
                          <a:nvSpPr>
                            <a:cNvPr id="2" name="TextovéPole 3"/>
                            <a:cNvSpPr txBox="1"/>
                          </a:nvSpPr>
                          <a:spPr>
                            <a:xfrm>
                              <a:off x="4152149" y="755412"/>
                              <a:ext cx="944361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cs-CZ" b="1" dirty="0" smtClean="0">
                                    <a:solidFill>
                                      <a:srgbClr val="C00000"/>
                                    </a:solidFill>
                                  </a:rPr>
                                  <a:t>Glukosa</a:t>
                                </a:r>
                                <a:endParaRPr lang="cs-CZ" b="1" dirty="0">
                                  <a:solidFill>
                                    <a:srgbClr val="C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" name="TextovéPole 4"/>
                            <a:cNvSpPr txBox="1"/>
                          </a:nvSpPr>
                          <a:spPr>
                            <a:xfrm>
                              <a:off x="3795904" y="1619508"/>
                              <a:ext cx="174746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cs-CZ" b="1" dirty="0" smtClean="0">
                                    <a:solidFill>
                                      <a:srgbClr val="C00000"/>
                                    </a:solidFill>
                                  </a:rPr>
                                  <a:t>Glukosa-6-fosfát</a:t>
                                </a:r>
                                <a:endParaRPr lang="cs-CZ" b="1" dirty="0">
                                  <a:solidFill>
                                    <a:srgbClr val="C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" name="TextovéPole 5"/>
                            <a:cNvSpPr txBox="1"/>
                          </a:nvSpPr>
                          <a:spPr>
                            <a:xfrm>
                              <a:off x="3795904" y="2503145"/>
                              <a:ext cx="1814728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cs-CZ" b="1" dirty="0" smtClean="0">
                                    <a:solidFill>
                                      <a:srgbClr val="C00000"/>
                                    </a:solidFill>
                                  </a:rPr>
                                  <a:t>Fruktosa-6-fosfát</a:t>
                                </a:r>
                                <a:endParaRPr lang="cs-CZ" b="1" dirty="0">
                                  <a:solidFill>
                                    <a:srgbClr val="C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" name="TextovéPole 6"/>
                            <a:cNvSpPr txBox="1"/>
                          </a:nvSpPr>
                          <a:spPr>
                            <a:xfrm>
                              <a:off x="3563888" y="3491716"/>
                              <a:ext cx="2260042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cs-CZ" b="1" dirty="0" smtClean="0">
                                    <a:solidFill>
                                      <a:srgbClr val="C00000"/>
                                    </a:solidFill>
                                  </a:rPr>
                                  <a:t>Fruktosa-1,6-</a:t>
                                </a:r>
                                <a:r>
                                  <a:rPr lang="cs-CZ" b="1" dirty="0" err="1" smtClean="0">
                                    <a:solidFill>
                                      <a:srgbClr val="C00000"/>
                                    </a:solidFill>
                                  </a:rPr>
                                  <a:t>bisfosfát</a:t>
                                </a:r>
                                <a:endParaRPr lang="cs-CZ" b="1" dirty="0">
                                  <a:solidFill>
                                    <a:srgbClr val="C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" name="TextovéPole 7"/>
                            <a:cNvSpPr txBox="1"/>
                          </a:nvSpPr>
                          <a:spPr>
                            <a:xfrm>
                              <a:off x="3779912" y="4427820"/>
                              <a:ext cx="1846468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cs-CZ" b="1" dirty="0" err="1" smtClean="0">
                                    <a:solidFill>
                                      <a:srgbClr val="C00000"/>
                                    </a:solidFill>
                                  </a:rPr>
                                  <a:t>Fosfoenolpyruvát</a:t>
                                </a:r>
                                <a:endParaRPr lang="cs-CZ" b="1" dirty="0">
                                  <a:solidFill>
                                    <a:srgbClr val="C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" name="TextovéPole 8"/>
                            <a:cNvSpPr txBox="1"/>
                          </a:nvSpPr>
                          <a:spPr>
                            <a:xfrm>
                              <a:off x="5432010" y="1163826"/>
                              <a:ext cx="1156214" cy="33855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cs-CZ" sz="1600" b="1" dirty="0" err="1" smtClean="0">
                                    <a:solidFill>
                                      <a:schemeClr val="tx2"/>
                                    </a:solidFill>
                                  </a:rPr>
                                  <a:t>Hexokinasa</a:t>
                                </a:r>
                                <a:endParaRPr lang="cs-CZ" sz="1600" b="1" dirty="0">
                                  <a:solidFill>
                                    <a:schemeClr val="tx2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0" name="TextovéPole 9"/>
                            <a:cNvSpPr txBox="1"/>
                          </a:nvSpPr>
                          <a:spPr>
                            <a:xfrm>
                              <a:off x="5364088" y="2965971"/>
                              <a:ext cx="1708416" cy="33855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cs-CZ" sz="1600" b="1" dirty="0" err="1" smtClean="0">
                                    <a:solidFill>
                                      <a:schemeClr val="tx2"/>
                                    </a:solidFill>
                                  </a:rPr>
                                  <a:t>Fosfofruktokinasa</a:t>
                                </a:r>
                                <a:endParaRPr lang="cs-CZ" sz="1600" b="1" dirty="0">
                                  <a:solidFill>
                                    <a:schemeClr val="tx2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" name="TextovéPole 10"/>
                            <a:cNvSpPr txBox="1"/>
                          </a:nvSpPr>
                          <a:spPr>
                            <a:xfrm>
                              <a:off x="5488247" y="4890646"/>
                              <a:ext cx="1388009" cy="33855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cs-CZ" sz="1600" b="1" dirty="0" err="1" smtClean="0">
                                    <a:solidFill>
                                      <a:schemeClr val="tx2"/>
                                    </a:solidFill>
                                  </a:rPr>
                                  <a:t>Pyruvátkinasa</a:t>
                                </a:r>
                                <a:endParaRPr lang="cs-CZ" sz="1600" b="1" dirty="0">
                                  <a:solidFill>
                                    <a:schemeClr val="tx2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" name="TextovéPole 11"/>
                            <a:cNvSpPr txBox="1"/>
                          </a:nvSpPr>
                          <a:spPr>
                            <a:xfrm>
                              <a:off x="1319178" y="4797152"/>
                              <a:ext cx="2683042" cy="830997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cs-CZ" sz="1600" b="1" dirty="0" err="1" smtClean="0">
                                    <a:solidFill>
                                      <a:schemeClr val="tx2"/>
                                    </a:solidFill>
                                  </a:rPr>
                                  <a:t>Pyruvátkarboxylasa</a:t>
                                </a:r>
                                <a:endParaRPr lang="cs-CZ" sz="1600" b="1" dirty="0" smtClean="0">
                                  <a:solidFill>
                                    <a:schemeClr val="tx2"/>
                                  </a:solidFill>
                                </a:endParaRPr>
                              </a:p>
                              <a:p>
                                <a:pPr algn="ctr"/>
                                <a:r>
                                  <a:rPr lang="cs-CZ" sz="1600" b="1" dirty="0" smtClean="0">
                                    <a:solidFill>
                                      <a:schemeClr val="tx2"/>
                                    </a:solidFill>
                                  </a:rPr>
                                  <a:t>+</a:t>
                                </a:r>
                              </a:p>
                              <a:p>
                                <a:pPr algn="ctr"/>
                                <a:r>
                                  <a:rPr lang="cs-CZ" sz="1600" b="1" dirty="0" err="1" smtClean="0">
                                    <a:solidFill>
                                      <a:schemeClr val="tx2"/>
                                    </a:solidFill>
                                  </a:rPr>
                                  <a:t>Fosfoenolpyruvátkarboxylasa</a:t>
                                </a:r>
                                <a:endParaRPr lang="cs-CZ" sz="1600" b="1" dirty="0">
                                  <a:solidFill>
                                    <a:schemeClr val="tx2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" name="TextovéPole 12"/>
                            <a:cNvSpPr txBox="1"/>
                          </a:nvSpPr>
                          <a:spPr>
                            <a:xfrm>
                              <a:off x="1588543" y="3018438"/>
                              <a:ext cx="2315890" cy="33855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cs-CZ" sz="1600" b="1" dirty="0" smtClean="0">
                                    <a:solidFill>
                                      <a:schemeClr val="tx2"/>
                                    </a:solidFill>
                                  </a:rPr>
                                  <a:t>Fruktosa-1,6-</a:t>
                                </a:r>
                                <a:r>
                                  <a:rPr lang="cs-CZ" sz="1600" b="1" dirty="0" err="1" smtClean="0">
                                    <a:solidFill>
                                      <a:schemeClr val="tx2"/>
                                    </a:solidFill>
                                  </a:rPr>
                                  <a:t>bisfosfatasa</a:t>
                                </a:r>
                                <a:endParaRPr lang="cs-CZ" sz="1600" b="1" dirty="0">
                                  <a:solidFill>
                                    <a:schemeClr val="tx2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4" name="TextovéPole 13"/>
                            <a:cNvSpPr txBox="1"/>
                          </a:nvSpPr>
                          <a:spPr>
                            <a:xfrm>
                              <a:off x="1979712" y="1196752"/>
                              <a:ext cx="1857945" cy="33855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cs-CZ" sz="1600" b="1" dirty="0" smtClean="0">
                                    <a:solidFill>
                                      <a:schemeClr val="tx2"/>
                                    </a:solidFill>
                                  </a:rPr>
                                  <a:t>Glukosa-6-</a:t>
                                </a:r>
                                <a:r>
                                  <a:rPr lang="cs-CZ" sz="1600" b="1" dirty="0" err="1" smtClean="0">
                                    <a:solidFill>
                                      <a:schemeClr val="tx2"/>
                                    </a:solidFill>
                                  </a:rPr>
                                  <a:t>fosfatasa</a:t>
                                </a:r>
                                <a:endParaRPr lang="cs-CZ" sz="1600" b="1" dirty="0">
                                  <a:solidFill>
                                    <a:schemeClr val="tx2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" name="TextovéPole 14"/>
                            <a:cNvSpPr txBox="1"/>
                          </a:nvSpPr>
                          <a:spPr>
                            <a:xfrm>
                              <a:off x="4139952" y="5589240"/>
                              <a:ext cx="92140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cs-CZ" b="1" dirty="0" err="1" smtClean="0">
                                    <a:solidFill>
                                      <a:srgbClr val="C00000"/>
                                    </a:solidFill>
                                  </a:rPr>
                                  <a:t>P</a:t>
                                </a:r>
                                <a:r>
                                  <a:rPr lang="cs-CZ" b="1" dirty="0" err="1" smtClean="0">
                                    <a:solidFill>
                                      <a:srgbClr val="C00000"/>
                                    </a:solidFill>
                                  </a:rPr>
                                  <a:t>yruvát</a:t>
                                </a:r>
                                <a:endParaRPr lang="cs-CZ" b="1" dirty="0">
                                  <a:solidFill>
                                    <a:srgbClr val="C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17" name="Přímá spojovací šipka 16"/>
                            <a:cNvCxnSpPr/>
                          </a:nvCxnSpPr>
                          <a:spPr>
                            <a:xfrm rot="5100000">
                              <a:off x="4266984" y="2207964"/>
                              <a:ext cx="639041" cy="59536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9" name="Přímá spojovací šipka 18"/>
                            <a:cNvCxnSpPr/>
                          </a:nvCxnSpPr>
                          <a:spPr>
                            <a:xfrm rot="5100000">
                              <a:off x="4266984" y="4158452"/>
                              <a:ext cx="639041" cy="59536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21" name="Zahnutá šipka doleva 20"/>
                            <a:cNvSpPr/>
                          </a:nvSpPr>
                          <a:spPr>
                            <a:xfrm>
                              <a:off x="4860032" y="1124744"/>
                              <a:ext cx="360040" cy="504056"/>
                            </a:xfrm>
                            <a:prstGeom prst="curvedLeftArrow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cs-CZ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cs-CZ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2" name="Zahnutá šipka doprava 21"/>
                            <a:cNvSpPr/>
                          </a:nvSpPr>
                          <a:spPr>
                            <a:xfrm flipV="1">
                              <a:off x="3851920" y="1052736"/>
                              <a:ext cx="360040" cy="576064"/>
                            </a:xfrm>
                            <a:prstGeom prst="curvedRightArrow">
                              <a:avLst>
                                <a:gd name="adj1" fmla="val 25000"/>
                                <a:gd name="adj2" fmla="val 50000"/>
                                <a:gd name="adj3" fmla="val 32581"/>
                              </a:avLst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cs-CZ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cs-CZ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27" name="Přímá spojovací šipka 26"/>
                            <a:cNvCxnSpPr/>
                          </a:nvCxnSpPr>
                          <a:spPr>
                            <a:xfrm rot="15900000">
                              <a:off x="4419384" y="4152180"/>
                              <a:ext cx="639041" cy="59536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8" name="Přímá spojovací šipka 27"/>
                            <a:cNvCxnSpPr/>
                          </a:nvCxnSpPr>
                          <a:spPr>
                            <a:xfrm rot="15900000">
                              <a:off x="4411000" y="2207964"/>
                              <a:ext cx="639041" cy="59536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32" name="Zahnutá šipka doleva 31"/>
                          <a:cNvSpPr/>
                        </a:nvSpPr>
                        <a:spPr>
                          <a:xfrm>
                            <a:off x="4860032" y="2996952"/>
                            <a:ext cx="360040" cy="504056"/>
                          </a:xfrm>
                          <a:prstGeom prst="curvedLeftArrow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cs-CZ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cs-CZ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3" name="Zahnutá šipka doprava 32"/>
                          <a:cNvSpPr/>
                        </a:nvSpPr>
                        <a:spPr>
                          <a:xfrm flipV="1">
                            <a:off x="3851920" y="2924944"/>
                            <a:ext cx="360040" cy="576064"/>
                          </a:xfrm>
                          <a:prstGeom prst="curvedRightArrow">
                            <a:avLst>
                              <a:gd name="adj1" fmla="val 25000"/>
                              <a:gd name="adj2" fmla="val 50000"/>
                              <a:gd name="adj3" fmla="val 32581"/>
                            </a:avLst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cs-CZ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cs-CZ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4" name="Zahnutá šipka doleva 33"/>
                          <a:cNvSpPr/>
                        </a:nvSpPr>
                        <a:spPr>
                          <a:xfrm>
                            <a:off x="4788024" y="4941168"/>
                            <a:ext cx="360040" cy="504056"/>
                          </a:xfrm>
                          <a:prstGeom prst="curvedLeftArrow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cs-CZ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cs-CZ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5" name="Zahnutá šipka doprava 34"/>
                          <a:cNvSpPr/>
                        </a:nvSpPr>
                        <a:spPr>
                          <a:xfrm flipV="1">
                            <a:off x="3779912" y="4869160"/>
                            <a:ext cx="360040" cy="576064"/>
                          </a:xfrm>
                          <a:prstGeom prst="curvedRightArrow">
                            <a:avLst>
                              <a:gd name="adj1" fmla="val 25000"/>
                              <a:gd name="adj2" fmla="val 50000"/>
                              <a:gd name="adj3" fmla="val 32581"/>
                            </a:avLst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cs-CZ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cs-CZ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</lc:lockedCanvas>
              </a:graphicData>
            </a:graphic>
          </wp:inline>
        </w:drawing>
      </w:r>
    </w:p>
    <w:p w:rsidR="00815BE5" w:rsidRPr="00A040B9" w:rsidRDefault="005A6D09" w:rsidP="00A040B9">
      <w:pPr>
        <w:pStyle w:val="Odstavecseseznamem"/>
        <w:spacing w:after="0" w:line="30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A040B9">
        <w:rPr>
          <w:rFonts w:ascii="Times New Roman" w:hAnsi="Times New Roman" w:cs="Times New Roman"/>
          <w:b/>
          <w:sz w:val="20"/>
          <w:szCs w:val="20"/>
        </w:rPr>
        <w:t>Obr. 1</w:t>
      </w:r>
      <w:r w:rsidR="00815BE5" w:rsidRPr="00A040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5BE5" w:rsidRPr="00A040B9">
        <w:rPr>
          <w:rFonts w:ascii="Times New Roman" w:hAnsi="Times New Roman" w:cs="Times New Roman"/>
          <w:sz w:val="20"/>
          <w:szCs w:val="20"/>
        </w:rPr>
        <w:t>Tři klíčové kroky glykolýzy a glukoneogeneze</w:t>
      </w:r>
    </w:p>
    <w:p w:rsidR="00815BE5" w:rsidRPr="00A040B9" w:rsidRDefault="00815BE5" w:rsidP="00A040B9">
      <w:pPr>
        <w:pStyle w:val="Odstavecseseznamem"/>
        <w:spacing w:after="0" w:line="30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40B9" w:rsidRDefault="00A040B9" w:rsidP="00A040B9">
      <w:pPr>
        <w:pStyle w:val="Odstavecseseznamem"/>
        <w:spacing w:after="0" w:line="300" w:lineRule="auto"/>
        <w:ind w:left="0"/>
        <w:jc w:val="both"/>
        <w:rPr>
          <w:rFonts w:ascii="Times New Roman" w:hAnsi="Times New Roman" w:cs="Times New Roman"/>
          <w:b/>
        </w:rPr>
      </w:pPr>
    </w:p>
    <w:p w:rsidR="00A040B9" w:rsidRDefault="00A040B9" w:rsidP="00A040B9">
      <w:pPr>
        <w:pStyle w:val="Odstavecseseznamem"/>
        <w:spacing w:after="0" w:line="300" w:lineRule="auto"/>
        <w:ind w:left="0"/>
        <w:jc w:val="both"/>
        <w:rPr>
          <w:rFonts w:ascii="Times New Roman" w:hAnsi="Times New Roman" w:cs="Times New Roman"/>
          <w:b/>
        </w:rPr>
      </w:pPr>
    </w:p>
    <w:p w:rsidR="00F2117C" w:rsidRPr="00A040B9" w:rsidRDefault="003C7801" w:rsidP="00A040B9">
      <w:pPr>
        <w:pStyle w:val="Odstavecseseznamem"/>
        <w:spacing w:after="0" w:line="300" w:lineRule="auto"/>
        <w:ind w:left="0"/>
        <w:jc w:val="both"/>
        <w:rPr>
          <w:rFonts w:ascii="Times New Roman" w:hAnsi="Times New Roman" w:cs="Times New Roman"/>
        </w:rPr>
      </w:pPr>
      <w:r w:rsidRPr="00A040B9">
        <w:rPr>
          <w:rFonts w:ascii="Times New Roman" w:hAnsi="Times New Roman" w:cs="Times New Roman"/>
          <w:b/>
        </w:rPr>
        <w:lastRenderedPageBreak/>
        <w:t>Glukoneogeneze a glykolýza</w:t>
      </w:r>
      <w:r w:rsidRPr="00A040B9">
        <w:rPr>
          <w:rFonts w:ascii="Times New Roman" w:hAnsi="Times New Roman" w:cs="Times New Roman"/>
        </w:rPr>
        <w:t xml:space="preserve"> jsou vzájemně zkoordinované, to znamená, že pokud jedna dráha je relativně </w:t>
      </w:r>
      <w:r w:rsidR="00211A6D" w:rsidRPr="00A040B9">
        <w:rPr>
          <w:rFonts w:ascii="Times New Roman" w:hAnsi="Times New Roman" w:cs="Times New Roman"/>
        </w:rPr>
        <w:t xml:space="preserve">neaktivní, ta druhá je vysoce aktivní. </w:t>
      </w:r>
      <w:r w:rsidR="00F2117C" w:rsidRPr="00A040B9">
        <w:rPr>
          <w:rFonts w:ascii="Times New Roman" w:hAnsi="Times New Roman" w:cs="Times New Roman"/>
        </w:rPr>
        <w:t xml:space="preserve">Jelikož obě dráhy jsou exergonické, teoreticky by mohly paralelně být aktivní obě. Existují však důležité regulační mechanismy, které kontrolují množství a aktivitu enzymů obou drah, takže k této skutečnosti nedochází. </w:t>
      </w:r>
    </w:p>
    <w:p w:rsidR="00AD7733" w:rsidRPr="00A040B9" w:rsidRDefault="00815BE5" w:rsidP="00A040B9">
      <w:pPr>
        <w:pStyle w:val="Odstavecseseznamem"/>
        <w:spacing w:after="0" w:line="300" w:lineRule="auto"/>
        <w:ind w:left="0"/>
        <w:jc w:val="both"/>
        <w:rPr>
          <w:rFonts w:ascii="Times New Roman" w:hAnsi="Times New Roman" w:cs="Times New Roman"/>
        </w:rPr>
      </w:pPr>
      <w:r w:rsidRPr="00A040B9">
        <w:rPr>
          <w:rFonts w:ascii="Times New Roman" w:hAnsi="Times New Roman" w:cs="Times New Roman"/>
        </w:rPr>
        <w:tab/>
      </w:r>
      <w:r w:rsidR="00F2117C" w:rsidRPr="00A040B9">
        <w:rPr>
          <w:rFonts w:ascii="Times New Roman" w:hAnsi="Times New Roman" w:cs="Times New Roman"/>
        </w:rPr>
        <w:t>Vzájemná přeměna frukto</w:t>
      </w:r>
      <w:r w:rsidR="005A1D8B" w:rsidRPr="00A040B9">
        <w:rPr>
          <w:rFonts w:ascii="Times New Roman" w:hAnsi="Times New Roman" w:cs="Times New Roman"/>
        </w:rPr>
        <w:t>s</w:t>
      </w:r>
      <w:r w:rsidR="00F2117C" w:rsidRPr="00A040B9">
        <w:rPr>
          <w:rFonts w:ascii="Times New Roman" w:hAnsi="Times New Roman" w:cs="Times New Roman"/>
        </w:rPr>
        <w:t xml:space="preserve">a-6-fosfátu a </w:t>
      </w:r>
      <w:proofErr w:type="gramStart"/>
      <w:r w:rsidR="00F2117C" w:rsidRPr="00A040B9">
        <w:rPr>
          <w:rFonts w:ascii="Times New Roman" w:hAnsi="Times New Roman" w:cs="Times New Roman"/>
        </w:rPr>
        <w:t>fruktosa-1,6-bisfosfátu</w:t>
      </w:r>
      <w:proofErr w:type="gramEnd"/>
      <w:r w:rsidR="00F2117C" w:rsidRPr="00A040B9">
        <w:rPr>
          <w:rFonts w:ascii="Times New Roman" w:hAnsi="Times New Roman" w:cs="Times New Roman"/>
        </w:rPr>
        <w:t xml:space="preserve"> je přísně kontrolována. AMP stimuluje fosfofruktokinasu, ale inhibuje </w:t>
      </w:r>
      <w:proofErr w:type="gramStart"/>
      <w:r w:rsidR="00F2117C" w:rsidRPr="00A040B9">
        <w:rPr>
          <w:rFonts w:ascii="Times New Roman" w:hAnsi="Times New Roman" w:cs="Times New Roman"/>
        </w:rPr>
        <w:t>fruktosa-1,6-bisfosfatasu</w:t>
      </w:r>
      <w:proofErr w:type="gramEnd"/>
      <w:r w:rsidR="00F2117C" w:rsidRPr="00A040B9">
        <w:rPr>
          <w:rFonts w:ascii="Times New Roman" w:hAnsi="Times New Roman" w:cs="Times New Roman"/>
        </w:rPr>
        <w:t xml:space="preserve">. Citrát a ATP inhibují fosfofruktokinasu, ale citrát stimuluje </w:t>
      </w:r>
      <w:proofErr w:type="gramStart"/>
      <w:r w:rsidR="00F2117C" w:rsidRPr="00A040B9">
        <w:rPr>
          <w:rFonts w:ascii="Times New Roman" w:hAnsi="Times New Roman" w:cs="Times New Roman"/>
        </w:rPr>
        <w:t>fruktosa-1,6-bisfosfatasu</w:t>
      </w:r>
      <w:proofErr w:type="gramEnd"/>
      <w:r w:rsidR="00007345" w:rsidRPr="00A040B9">
        <w:rPr>
          <w:rFonts w:ascii="Times New Roman" w:hAnsi="Times New Roman" w:cs="Times New Roman"/>
        </w:rPr>
        <w:t xml:space="preserve">. Z tohoto je jasné, že vysoká hladina AMP vypovídá o nedostatku potřebné energie a signalizuje pro tvorbu ATP a spouští se proces glykolýzy, a naopak při dostatečném množství energie a biosyntetických meziproduktů, dochází k inhibici glykolýzy a spouští se mechanismy glukoneogeneze. Důležitým regulačním mechanismem, je také kontrola metabolických procesů za účasti hormonů. V případě glykolýzy a glukoneogeneze se jedná o antagonisty insulin a glukagon, které </w:t>
      </w:r>
      <w:r w:rsidR="00A54C8E" w:rsidRPr="00A040B9">
        <w:rPr>
          <w:rFonts w:ascii="Times New Roman" w:hAnsi="Times New Roman" w:cs="Times New Roman"/>
        </w:rPr>
        <w:t xml:space="preserve">ovlivňují tvorbu s degradaci </w:t>
      </w:r>
      <w:r w:rsidR="00A040B9">
        <w:rPr>
          <w:rFonts w:ascii="Times New Roman" w:hAnsi="Times New Roman" w:cs="Times New Roman"/>
        </w:rPr>
        <w:t xml:space="preserve">signální molekuly </w:t>
      </w:r>
      <w:proofErr w:type="gramStart"/>
      <w:r w:rsidR="00A040B9">
        <w:rPr>
          <w:rFonts w:ascii="Times New Roman" w:hAnsi="Times New Roman" w:cs="Times New Roman"/>
        </w:rPr>
        <w:t>fruktosa</w:t>
      </w:r>
      <w:r w:rsidR="00A040B9">
        <w:rPr>
          <w:rFonts w:ascii="Times New Roman" w:hAnsi="Times New Roman" w:cs="Times New Roman"/>
        </w:rPr>
        <w:noBreakHyphen/>
      </w:r>
      <w:r w:rsidR="00A54C8E" w:rsidRPr="00A040B9">
        <w:rPr>
          <w:rFonts w:ascii="Times New Roman" w:hAnsi="Times New Roman" w:cs="Times New Roman"/>
        </w:rPr>
        <w:t>2,6-bisfosfátu</w:t>
      </w:r>
      <w:proofErr w:type="gramEnd"/>
      <w:r w:rsidR="005A6D09" w:rsidRPr="00A040B9">
        <w:rPr>
          <w:rFonts w:ascii="Times New Roman" w:hAnsi="Times New Roman" w:cs="Times New Roman"/>
        </w:rPr>
        <w:t xml:space="preserve">, která silně </w:t>
      </w:r>
      <w:r w:rsidR="00E71AC8" w:rsidRPr="00A040B9">
        <w:rPr>
          <w:rFonts w:ascii="Times New Roman" w:hAnsi="Times New Roman" w:cs="Times New Roman"/>
        </w:rPr>
        <w:t>stimuluje aktivitu</w:t>
      </w:r>
      <w:r w:rsidR="005A1D8B" w:rsidRPr="00A040B9">
        <w:rPr>
          <w:rFonts w:ascii="Times New Roman" w:hAnsi="Times New Roman" w:cs="Times New Roman"/>
        </w:rPr>
        <w:t xml:space="preserve"> fosfofruktokinasy a </w:t>
      </w:r>
      <w:r w:rsidR="00A54C8E" w:rsidRPr="00A040B9">
        <w:rPr>
          <w:rFonts w:ascii="Times New Roman" w:hAnsi="Times New Roman" w:cs="Times New Roman"/>
        </w:rPr>
        <w:t xml:space="preserve">inhibuje </w:t>
      </w:r>
      <w:r w:rsidR="005A1D8B" w:rsidRPr="00A040B9">
        <w:rPr>
          <w:rFonts w:ascii="Times New Roman" w:hAnsi="Times New Roman" w:cs="Times New Roman"/>
        </w:rPr>
        <w:t>fruktosa-1,6-bisfosfatas</w:t>
      </w:r>
      <w:r w:rsidR="00A54C8E" w:rsidRPr="00A040B9">
        <w:rPr>
          <w:rFonts w:ascii="Times New Roman" w:hAnsi="Times New Roman" w:cs="Times New Roman"/>
        </w:rPr>
        <w:t>u. Při hladovění, kdy je koncentrace glukosy nízká dochází k sekreci hormonu glukagonu, který spouští kaskádu cAMP, dochází k fosforylaci bifunkčího enzymu, který má za následek snížení akti</w:t>
      </w:r>
      <w:r w:rsidR="005A6D09" w:rsidRPr="00A040B9">
        <w:rPr>
          <w:rFonts w:ascii="Times New Roman" w:hAnsi="Times New Roman" w:cs="Times New Roman"/>
        </w:rPr>
        <w:t>vity PFK2 a zvý</w:t>
      </w:r>
      <w:r w:rsidR="00A54C8E" w:rsidRPr="00A040B9">
        <w:rPr>
          <w:rFonts w:ascii="Times New Roman" w:hAnsi="Times New Roman" w:cs="Times New Roman"/>
        </w:rPr>
        <w:t xml:space="preserve">šení aktivity FBPasy2, jež </w:t>
      </w:r>
      <w:r w:rsidR="006F61B8" w:rsidRPr="00A040B9">
        <w:rPr>
          <w:rFonts w:ascii="Times New Roman" w:hAnsi="Times New Roman" w:cs="Times New Roman"/>
        </w:rPr>
        <w:t xml:space="preserve">sníží hladinu </w:t>
      </w:r>
      <w:proofErr w:type="gramStart"/>
      <w:r w:rsidR="006F61B8" w:rsidRPr="00A040B9">
        <w:rPr>
          <w:rFonts w:ascii="Times New Roman" w:hAnsi="Times New Roman" w:cs="Times New Roman"/>
        </w:rPr>
        <w:t>fruktosa-2,6-bisfosfátu</w:t>
      </w:r>
      <w:proofErr w:type="gramEnd"/>
      <w:r w:rsidR="006F61B8" w:rsidRPr="00A040B9">
        <w:rPr>
          <w:rFonts w:ascii="Times New Roman" w:hAnsi="Times New Roman" w:cs="Times New Roman"/>
        </w:rPr>
        <w:t xml:space="preserve"> a dojde ke zpomalení glykolýzy a zvýšené glukoneogenezi.</w:t>
      </w:r>
    </w:p>
    <w:p w:rsidR="006F61B8" w:rsidRPr="00A040B9" w:rsidRDefault="00815BE5" w:rsidP="00A040B9">
      <w:pPr>
        <w:pStyle w:val="Odstavecseseznamem"/>
        <w:spacing w:after="0" w:line="300" w:lineRule="auto"/>
        <w:ind w:left="0"/>
        <w:jc w:val="both"/>
        <w:rPr>
          <w:rFonts w:ascii="Times New Roman" w:hAnsi="Times New Roman" w:cs="Times New Roman"/>
        </w:rPr>
      </w:pPr>
      <w:r w:rsidRPr="00A040B9">
        <w:rPr>
          <w:rFonts w:ascii="Times New Roman" w:hAnsi="Times New Roman" w:cs="Times New Roman"/>
        </w:rPr>
        <w:tab/>
        <w:t>V</w:t>
      </w:r>
      <w:r w:rsidR="006F61B8" w:rsidRPr="00A040B9">
        <w:rPr>
          <w:rFonts w:ascii="Times New Roman" w:hAnsi="Times New Roman" w:cs="Times New Roman"/>
        </w:rPr>
        <w:t xml:space="preserve">zájemná přeměna fosfoenolpyruvátu a pyruvátu je regulována allosterickými efektory, a taktéž fosforylací. Vysoké hladiny ATP a alaninu vypovídají o dostatečné energii a dostatečném množství stavebních kamenu a tudíž inhibují </w:t>
      </w:r>
      <w:r w:rsidR="00E71AC8" w:rsidRPr="00A040B9">
        <w:rPr>
          <w:rFonts w:ascii="Times New Roman" w:hAnsi="Times New Roman" w:cs="Times New Roman"/>
        </w:rPr>
        <w:t>pyruvátkinasu</w:t>
      </w:r>
      <w:r w:rsidR="006F61B8" w:rsidRPr="00A040B9">
        <w:rPr>
          <w:rFonts w:ascii="Times New Roman" w:hAnsi="Times New Roman" w:cs="Times New Roman"/>
        </w:rPr>
        <w:t xml:space="preserve"> v játrech, naopak pyruvátkarboxylasa je aktivována acetylCoA a inhibována ADP</w:t>
      </w:r>
      <w:r w:rsidR="00793FFA" w:rsidRPr="00A040B9">
        <w:rPr>
          <w:rFonts w:ascii="Times New Roman" w:hAnsi="Times New Roman" w:cs="Times New Roman"/>
        </w:rPr>
        <w:t>. S</w:t>
      </w:r>
      <w:r w:rsidR="006F61B8" w:rsidRPr="00A040B9">
        <w:rPr>
          <w:rFonts w:ascii="Times New Roman" w:hAnsi="Times New Roman" w:cs="Times New Roman"/>
        </w:rPr>
        <w:t xml:space="preserve">tejně tak </w:t>
      </w:r>
      <w:r w:rsidR="00E71AC8" w:rsidRPr="00A040B9">
        <w:rPr>
          <w:rFonts w:ascii="Times New Roman" w:hAnsi="Times New Roman" w:cs="Times New Roman"/>
        </w:rPr>
        <w:t>fosfoenolpyruvátkarboxykinasa</w:t>
      </w:r>
      <w:r w:rsidR="00793FFA" w:rsidRPr="00A040B9">
        <w:rPr>
          <w:rFonts w:ascii="Times New Roman" w:hAnsi="Times New Roman" w:cs="Times New Roman"/>
        </w:rPr>
        <w:t xml:space="preserve"> je inhibována ADP.</w:t>
      </w:r>
    </w:p>
    <w:p w:rsidR="00793FFA" w:rsidRPr="00A040B9" w:rsidRDefault="00815BE5" w:rsidP="00A040B9">
      <w:pPr>
        <w:pStyle w:val="Odstavecseseznamem"/>
        <w:spacing w:after="0" w:line="300" w:lineRule="auto"/>
        <w:ind w:left="0"/>
        <w:jc w:val="both"/>
        <w:rPr>
          <w:rFonts w:ascii="Times New Roman" w:hAnsi="Times New Roman" w:cs="Times New Roman"/>
        </w:rPr>
      </w:pPr>
      <w:r w:rsidRPr="00A040B9">
        <w:rPr>
          <w:rFonts w:ascii="Times New Roman" w:hAnsi="Times New Roman" w:cs="Times New Roman"/>
        </w:rPr>
        <w:tab/>
      </w:r>
      <w:r w:rsidR="00793FFA" w:rsidRPr="00A040B9">
        <w:rPr>
          <w:rFonts w:ascii="Times New Roman" w:hAnsi="Times New Roman" w:cs="Times New Roman"/>
        </w:rPr>
        <w:t xml:space="preserve">Hormony ovlivňují množství a aktivity enzymů ne základě genové exprese. Ovlivňují rychlost transkripce nebo degradace mRNA. Hladina insulinu se zvyšuje po jídle, ten stimuluje expresi fosfofruktokinasy, pyruvátkinasy a bifunkčního enzymu. Hladina glukagonu se zvyšuje při </w:t>
      </w:r>
      <w:r w:rsidR="00E71AC8" w:rsidRPr="00A040B9">
        <w:rPr>
          <w:rFonts w:ascii="Times New Roman" w:hAnsi="Times New Roman" w:cs="Times New Roman"/>
        </w:rPr>
        <w:t>hladovění a dochází</w:t>
      </w:r>
      <w:r w:rsidR="00793FFA" w:rsidRPr="00A040B9">
        <w:rPr>
          <w:rFonts w:ascii="Times New Roman" w:hAnsi="Times New Roman" w:cs="Times New Roman"/>
        </w:rPr>
        <w:t xml:space="preserve"> inhibici exprese</w:t>
      </w:r>
      <w:r w:rsidR="00DF176B" w:rsidRPr="00A040B9">
        <w:rPr>
          <w:rFonts w:ascii="Times New Roman" w:hAnsi="Times New Roman" w:cs="Times New Roman"/>
        </w:rPr>
        <w:t xml:space="preserve"> těchto enzymů a ke stimulaci produkce enzymů klíčových při glukoneogenezi - fosfoenolpyruvátkarboxykinasy a </w:t>
      </w:r>
      <w:proofErr w:type="gramStart"/>
      <w:r w:rsidR="00DF176B" w:rsidRPr="00A040B9">
        <w:rPr>
          <w:rFonts w:ascii="Times New Roman" w:hAnsi="Times New Roman" w:cs="Times New Roman"/>
        </w:rPr>
        <w:t>fruktosa-1,6-bisfosfatasy</w:t>
      </w:r>
      <w:proofErr w:type="gramEnd"/>
      <w:r w:rsidR="00DF176B" w:rsidRPr="00A040B9">
        <w:rPr>
          <w:rFonts w:ascii="Times New Roman" w:hAnsi="Times New Roman" w:cs="Times New Roman"/>
        </w:rPr>
        <w:t xml:space="preserve">. Ve srovnání s allosterickou regulací je ta transkripční mnohem pomalejší a může trvat i několik hodin nebo dní. </w:t>
      </w:r>
    </w:p>
    <w:p w:rsidR="005A6D09" w:rsidRDefault="005A6D09" w:rsidP="00A040B9">
      <w:pPr>
        <w:pStyle w:val="Odstavecseseznamem"/>
        <w:spacing w:after="0" w:line="300" w:lineRule="auto"/>
        <w:ind w:left="0"/>
        <w:jc w:val="both"/>
        <w:rPr>
          <w:rFonts w:ascii="Times New Roman" w:hAnsi="Times New Roman" w:cs="Times New Roman"/>
        </w:rPr>
      </w:pPr>
    </w:p>
    <w:p w:rsidR="005A6D09" w:rsidRDefault="005A6D09" w:rsidP="00A040B9">
      <w:pPr>
        <w:pStyle w:val="Odstavecseseznamem"/>
        <w:spacing w:after="0" w:line="300" w:lineRule="auto"/>
        <w:ind w:left="0"/>
        <w:jc w:val="center"/>
      </w:pPr>
      <w:r w:rsidRPr="005A6D09">
        <w:lastRenderedPageBreak/>
        <w:drawing>
          <wp:inline distT="0" distB="0" distL="0" distR="0">
            <wp:extent cx="4342651" cy="3554083"/>
            <wp:effectExtent l="19050" t="0" r="749" b="0"/>
            <wp:docPr id="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689" cy="355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D09" w:rsidRPr="00A040B9" w:rsidRDefault="005A6D09" w:rsidP="00A040B9">
      <w:pPr>
        <w:pStyle w:val="Odstavecseseznamem"/>
        <w:spacing w:after="0" w:line="30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A040B9">
        <w:rPr>
          <w:rFonts w:ascii="Times New Roman" w:hAnsi="Times New Roman" w:cs="Times New Roman"/>
          <w:b/>
          <w:sz w:val="20"/>
          <w:szCs w:val="20"/>
        </w:rPr>
        <w:t xml:space="preserve">Obr. 2 </w:t>
      </w:r>
      <w:r w:rsidRPr="00A040B9">
        <w:rPr>
          <w:rFonts w:ascii="Times New Roman" w:hAnsi="Times New Roman" w:cs="Times New Roman"/>
          <w:sz w:val="20"/>
          <w:szCs w:val="20"/>
        </w:rPr>
        <w:t>Reciproká regulace glykolýzy a glukoneogeneze v játrech</w:t>
      </w:r>
    </w:p>
    <w:p w:rsidR="005A6D09" w:rsidRDefault="005A6D09" w:rsidP="00A040B9">
      <w:pPr>
        <w:pStyle w:val="Odstavecseseznamem"/>
        <w:spacing w:after="0" w:line="300" w:lineRule="auto"/>
        <w:ind w:left="0"/>
        <w:rPr>
          <w:rFonts w:ascii="Times New Roman" w:hAnsi="Times New Roman" w:cs="Times New Roman"/>
        </w:rPr>
      </w:pPr>
    </w:p>
    <w:p w:rsidR="005A6D09" w:rsidRDefault="005A6D09" w:rsidP="00A040B9">
      <w:pPr>
        <w:pStyle w:val="Odstavecseseznamem"/>
        <w:spacing w:after="0" w:line="300" w:lineRule="auto"/>
        <w:ind w:left="0"/>
        <w:rPr>
          <w:rFonts w:ascii="Times New Roman" w:hAnsi="Times New Roman" w:cs="Times New Roman"/>
        </w:rPr>
      </w:pPr>
    </w:p>
    <w:p w:rsidR="005A6D09" w:rsidRPr="00A040B9" w:rsidRDefault="005A6D09" w:rsidP="00A040B9">
      <w:pPr>
        <w:pStyle w:val="Odstavecseseznamem"/>
        <w:spacing w:after="0" w:line="30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040B9">
        <w:rPr>
          <w:rFonts w:ascii="Times New Roman" w:hAnsi="Times New Roman" w:cs="Times New Roman"/>
          <w:sz w:val="20"/>
          <w:szCs w:val="20"/>
        </w:rPr>
        <w:t>Literatura:</w:t>
      </w:r>
    </w:p>
    <w:p w:rsidR="005A6D09" w:rsidRPr="00A040B9" w:rsidRDefault="005A6D09" w:rsidP="00A040B9">
      <w:pPr>
        <w:pStyle w:val="Odstavecseseznamem"/>
        <w:spacing w:after="0" w:line="30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E71AC8" w:rsidRPr="00A040B9" w:rsidRDefault="00E71AC8" w:rsidP="00A040B9">
      <w:pPr>
        <w:spacing w:line="30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A040B9">
        <w:rPr>
          <w:rFonts w:ascii="Times New Roman" w:hAnsi="Times New Roman" w:cs="Times New Roman"/>
          <w:sz w:val="20"/>
          <w:szCs w:val="20"/>
          <w:lang w:val="en-GB"/>
        </w:rPr>
        <w:t xml:space="preserve">Berg J. M., Tymoczko J. L., Stryer L. (2002) Biochemistry, pp. 345-349, 358-368, </w:t>
      </w:r>
      <w:hyperlink r:id="rId8" w:history="1">
        <w:r w:rsidRPr="00A040B9">
          <w:rPr>
            <w:rStyle w:val="Hypertextovodkaz"/>
            <w:rFonts w:ascii="Times New Roman" w:hAnsi="Times New Roman"/>
            <w:color w:val="auto"/>
            <w:sz w:val="20"/>
            <w:szCs w:val="20"/>
            <w:u w:val="none"/>
          </w:rPr>
          <w:t>W. H. Freeman and Co.</w:t>
        </w:r>
      </w:hyperlink>
      <w:r w:rsidRPr="00A040B9">
        <w:rPr>
          <w:rFonts w:ascii="Times New Roman" w:hAnsi="Times New Roman" w:cs="Times New Roman"/>
          <w:sz w:val="20"/>
          <w:szCs w:val="20"/>
          <w:lang w:val="en-GB"/>
        </w:rPr>
        <w:t>, NY, USA.</w:t>
      </w:r>
    </w:p>
    <w:p w:rsidR="00E71AC8" w:rsidRPr="00A040B9" w:rsidRDefault="00E71AC8" w:rsidP="00A040B9">
      <w:pPr>
        <w:spacing w:line="30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A040B9">
        <w:rPr>
          <w:rFonts w:ascii="Times New Roman" w:hAnsi="Times New Roman" w:cs="Times New Roman"/>
          <w:sz w:val="20"/>
          <w:szCs w:val="20"/>
          <w:lang w:val="en-GB"/>
        </w:rPr>
        <w:t>Voet.</w:t>
      </w:r>
      <w:proofErr w:type="gramEnd"/>
      <w:r w:rsidRPr="00A040B9">
        <w:rPr>
          <w:rFonts w:ascii="Times New Roman" w:hAnsi="Times New Roman" w:cs="Times New Roman"/>
          <w:sz w:val="20"/>
          <w:szCs w:val="20"/>
          <w:lang w:val="en-GB"/>
        </w:rPr>
        <w:t xml:space="preserve"> D., Voetová J. G. (1995) Biochemie, </w:t>
      </w:r>
      <w:hyperlink r:id="rId9" w:history="1">
        <w:r w:rsidRPr="00A040B9">
          <w:rPr>
            <w:rStyle w:val="Hypertextovodkaz"/>
            <w:rFonts w:ascii="Times New Roman" w:hAnsi="Times New Roman"/>
            <w:color w:val="auto"/>
            <w:sz w:val="20"/>
            <w:szCs w:val="20"/>
            <w:u w:val="none"/>
          </w:rPr>
          <w:t>Victoria</w:t>
        </w:r>
      </w:hyperlink>
      <w:r w:rsidRPr="00A040B9">
        <w:rPr>
          <w:rStyle w:val="publisher"/>
          <w:rFonts w:ascii="Times New Roman" w:hAnsi="Times New Roman"/>
          <w:sz w:val="20"/>
          <w:szCs w:val="20"/>
        </w:rPr>
        <w:t xml:space="preserve"> publishing</w:t>
      </w:r>
      <w:r w:rsidRPr="00A040B9">
        <w:rPr>
          <w:rFonts w:ascii="Times New Roman" w:hAnsi="Times New Roman" w:cs="Times New Roman"/>
          <w:sz w:val="20"/>
          <w:szCs w:val="20"/>
          <w:lang w:val="en-GB"/>
        </w:rPr>
        <w:t>, Praha, CZ.</w:t>
      </w:r>
    </w:p>
    <w:p w:rsidR="005A6D09" w:rsidRPr="005A1D8B" w:rsidRDefault="005A6D09" w:rsidP="00A040B9">
      <w:pPr>
        <w:pStyle w:val="Odstavecseseznamem"/>
        <w:spacing w:after="0" w:line="300" w:lineRule="auto"/>
        <w:ind w:left="0"/>
        <w:jc w:val="both"/>
      </w:pPr>
    </w:p>
    <w:sectPr w:rsidR="005A6D09" w:rsidRPr="005A1D8B" w:rsidSect="00B6739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F6B" w:rsidRDefault="00FA0F6B" w:rsidP="00E71AC8">
      <w:pPr>
        <w:spacing w:after="0" w:line="240" w:lineRule="auto"/>
      </w:pPr>
      <w:r>
        <w:separator/>
      </w:r>
    </w:p>
  </w:endnote>
  <w:endnote w:type="continuationSeparator" w:id="0">
    <w:p w:rsidR="00FA0F6B" w:rsidRDefault="00FA0F6B" w:rsidP="00E7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4986"/>
      <w:docPartObj>
        <w:docPartGallery w:val="Page Numbers (Bottom of Page)"/>
        <w:docPartUnique/>
      </w:docPartObj>
    </w:sdtPr>
    <w:sdtContent>
      <w:p w:rsidR="00E71AC8" w:rsidRDefault="00E71AC8">
        <w:pPr>
          <w:pStyle w:val="Zpat"/>
          <w:jc w:val="center"/>
        </w:pPr>
        <w:fldSimple w:instr=" PAGE   \* MERGEFORMAT ">
          <w:r w:rsidR="00E213AD">
            <w:rPr>
              <w:noProof/>
            </w:rPr>
            <w:t>3</w:t>
          </w:r>
        </w:fldSimple>
      </w:p>
    </w:sdtContent>
  </w:sdt>
  <w:p w:rsidR="00E71AC8" w:rsidRDefault="00E71AC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F6B" w:rsidRDefault="00FA0F6B" w:rsidP="00E71AC8">
      <w:pPr>
        <w:spacing w:after="0" w:line="240" w:lineRule="auto"/>
      </w:pPr>
      <w:r>
        <w:separator/>
      </w:r>
    </w:p>
  </w:footnote>
  <w:footnote w:type="continuationSeparator" w:id="0">
    <w:p w:rsidR="00FA0F6B" w:rsidRDefault="00FA0F6B" w:rsidP="00E71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8FA"/>
    <w:multiLevelType w:val="hybridMultilevel"/>
    <w:tmpl w:val="DF1248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E826AF"/>
    <w:multiLevelType w:val="hybridMultilevel"/>
    <w:tmpl w:val="2D2A31D4"/>
    <w:lvl w:ilvl="0" w:tplc="F306C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D49"/>
    <w:rsid w:val="00007345"/>
    <w:rsid w:val="0004056C"/>
    <w:rsid w:val="000E1A6F"/>
    <w:rsid w:val="00211A6D"/>
    <w:rsid w:val="00217A20"/>
    <w:rsid w:val="00225B66"/>
    <w:rsid w:val="0029073F"/>
    <w:rsid w:val="002A772E"/>
    <w:rsid w:val="002D1C3D"/>
    <w:rsid w:val="00302256"/>
    <w:rsid w:val="00302D49"/>
    <w:rsid w:val="003702EC"/>
    <w:rsid w:val="00375EFF"/>
    <w:rsid w:val="003A09B7"/>
    <w:rsid w:val="003A29C0"/>
    <w:rsid w:val="003A5B2B"/>
    <w:rsid w:val="003C7801"/>
    <w:rsid w:val="00460F06"/>
    <w:rsid w:val="00467610"/>
    <w:rsid w:val="004B05FE"/>
    <w:rsid w:val="00571204"/>
    <w:rsid w:val="00592EC9"/>
    <w:rsid w:val="00596A35"/>
    <w:rsid w:val="005A1D8B"/>
    <w:rsid w:val="005A6D09"/>
    <w:rsid w:val="00602635"/>
    <w:rsid w:val="006027C1"/>
    <w:rsid w:val="006B6C11"/>
    <w:rsid w:val="006F4E64"/>
    <w:rsid w:val="006F61B8"/>
    <w:rsid w:val="007233C3"/>
    <w:rsid w:val="00735AE3"/>
    <w:rsid w:val="00793FFA"/>
    <w:rsid w:val="007B0EF8"/>
    <w:rsid w:val="007B5DC3"/>
    <w:rsid w:val="007C0E9D"/>
    <w:rsid w:val="007E0C0F"/>
    <w:rsid w:val="007F6DA0"/>
    <w:rsid w:val="00801FAE"/>
    <w:rsid w:val="00815BE5"/>
    <w:rsid w:val="008A4BE4"/>
    <w:rsid w:val="008F1524"/>
    <w:rsid w:val="00A040B9"/>
    <w:rsid w:val="00A54C8E"/>
    <w:rsid w:val="00A611CF"/>
    <w:rsid w:val="00AC30BC"/>
    <w:rsid w:val="00AD7733"/>
    <w:rsid w:val="00B31FBB"/>
    <w:rsid w:val="00B33A8F"/>
    <w:rsid w:val="00B67394"/>
    <w:rsid w:val="00B90F70"/>
    <w:rsid w:val="00C01E97"/>
    <w:rsid w:val="00C13FAB"/>
    <w:rsid w:val="00C45873"/>
    <w:rsid w:val="00C522C9"/>
    <w:rsid w:val="00CC7A21"/>
    <w:rsid w:val="00CD678A"/>
    <w:rsid w:val="00CD7AD0"/>
    <w:rsid w:val="00CF5C3E"/>
    <w:rsid w:val="00D62CC1"/>
    <w:rsid w:val="00DF176B"/>
    <w:rsid w:val="00E04846"/>
    <w:rsid w:val="00E213AD"/>
    <w:rsid w:val="00E2520C"/>
    <w:rsid w:val="00E71AC8"/>
    <w:rsid w:val="00ED310B"/>
    <w:rsid w:val="00F07F87"/>
    <w:rsid w:val="00F2117C"/>
    <w:rsid w:val="00F72B2E"/>
    <w:rsid w:val="00F81D7C"/>
    <w:rsid w:val="00FA0F6B"/>
    <w:rsid w:val="00FA49BA"/>
    <w:rsid w:val="00FF02CF"/>
    <w:rsid w:val="00FF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D4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5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BE5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Standardnpsmoodstavce"/>
    <w:rsid w:val="00E71AC8"/>
    <w:rPr>
      <w:rFonts w:cs="Times New Roman"/>
    </w:rPr>
  </w:style>
  <w:style w:type="character" w:styleId="Hypertextovodkaz">
    <w:name w:val="Hyperlink"/>
    <w:basedOn w:val="Standardnpsmoodstavce"/>
    <w:rsid w:val="00E71AC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7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1AC8"/>
  </w:style>
  <w:style w:type="paragraph" w:styleId="Zpat">
    <w:name w:val="footer"/>
    <w:basedOn w:val="Normln"/>
    <w:link w:val="ZpatChar"/>
    <w:uiPriority w:val="99"/>
    <w:unhideWhenUsed/>
    <w:rsid w:val="00E7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freem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hfreeman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5</Pages>
  <Words>1584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Džejn</dc:creator>
  <cp:lastModifiedBy>Džejn</cp:lastModifiedBy>
  <cp:revision>14</cp:revision>
  <dcterms:created xsi:type="dcterms:W3CDTF">2011-04-27T12:39:00Z</dcterms:created>
  <dcterms:modified xsi:type="dcterms:W3CDTF">2011-04-28T19:27:00Z</dcterms:modified>
</cp:coreProperties>
</file>