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992741" w:rsidR="002C20CF" w:rsidP="71E36747" w:rsidRDefault="00FD4FDD" w14:paraId="5A2E7EC5" w14:textId="691240FE" w14:noSpellErr="1">
      <w:pPr>
        <w:pStyle w:val="K-Nadpis1"/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</w:pPr>
      <w:bookmarkStart w:name="_Hlk58912991" w:id="0"/>
      <w:r w:rsidRPr="71E36747" w:rsidR="3DE45ADF"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  <w:t>5</w:t>
      </w:r>
      <w:r w:rsidRPr="71E36747" w:rsidR="7FEDB2C9"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  <w:t>.</w:t>
      </w:r>
      <w:r w:rsidRPr="71E36747" w:rsidR="3DE45ADF"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  <w:t>1</w:t>
      </w:r>
      <w:r w:rsidRPr="71E36747" w:rsidR="7FEDB2C9"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  <w:t xml:space="preserve"> </w:t>
      </w:r>
      <w:r w:rsidRPr="71E36747" w:rsidR="3DE45ADF"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  <w:t xml:space="preserve">EXCELENTNÍ VÝZKUM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  <w:t>A </w:t>
      </w:r>
      <w:r w:rsidRPr="71E36747" w:rsidR="3DE45ADF"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  <w:t xml:space="preserve">VÝVOJ </w:t>
      </w:r>
      <w:r w:rsidRPr="71E36747" w:rsidR="3D5955CE"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  <w:t xml:space="preserve">V PRIORITNÍCH OBLASTECH </w:t>
      </w:r>
      <w:r w:rsidRPr="71E36747" w:rsidR="3DE45ADF"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  <w:t>VEŘEJNÉ</w:t>
      </w:r>
      <w:r w:rsidRPr="71E36747" w:rsidR="3D5955CE"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  <w:t>HO</w:t>
      </w:r>
      <w:r w:rsidRPr="71E36747" w:rsidR="3DE45ADF"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  <w:t xml:space="preserve"> ZÁJMU</w:t>
      </w:r>
      <w:r w:rsidRPr="71E36747" w:rsidR="3D5955CE"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  <w:t xml:space="preserve"> VE ZDRAVOTNICTVÍ</w:t>
      </w:r>
      <w:r w:rsidRPr="71E36747" w:rsidR="6C1239F5"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  <w:t xml:space="preserve"> </w:t>
      </w:r>
      <w:r w:rsidRPr="71E36747" w:rsidR="7FEDB2C9"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  <w:t>(</w:t>
      </w:r>
      <w:r w:rsidRPr="71E36747" w:rsidR="6C1239F5"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  <w:t>MŠMT</w:t>
      </w:r>
      <w:r w:rsidRPr="71E36747" w:rsidR="7FEDB2C9"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  <w:t>)</w:t>
      </w:r>
      <w:r w:rsidRPr="71E36747" w:rsidR="2DB997A7">
        <w:rPr>
          <w:rFonts w:ascii="Calibri" w:hAnsi="Calibri" w:eastAsia="Calibri" w:cs="Calibri" w:asciiTheme="minorAscii" w:hAnsiTheme="minorAscii" w:eastAsiaTheme="minorAscii" w:cstheme="minorAscii"/>
          <w:color w:val="auto"/>
          <w:sz w:val="28"/>
          <w:szCs w:val="28"/>
        </w:rPr>
        <w:t xml:space="preserve"> </w:t>
      </w:r>
    </w:p>
    <w:bookmarkEnd w:id="0"/>
    <w:p w:rsidRPr="00992741" w:rsidR="002C20CF" w:rsidP="71E36747" w:rsidRDefault="002C20CF" w14:paraId="00F5B6F2" w14:textId="570D07A4" w14:noSpellErr="1">
      <w:pPr>
        <w:pStyle w:val="Nadpis2"/>
        <w:rPr>
          <w:rStyle w:val="K-Nadpis2Char"/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auto"/>
          <w:sz w:val="20"/>
          <w:szCs w:val="20"/>
        </w:rPr>
      </w:pPr>
      <w:r w:rsidRPr="71E36747" w:rsidR="2DB997A7">
        <w:rPr>
          <w:rStyle w:val="K-Nadpis2Char"/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auto"/>
          <w:sz w:val="20"/>
          <w:szCs w:val="20"/>
        </w:rPr>
        <w:t xml:space="preserve">1. </w:t>
      </w:r>
      <w:r w:rsidRPr="71E36747" w:rsidR="5ED66E3C">
        <w:rPr>
          <w:rStyle w:val="K-Nadpis2Char"/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auto"/>
          <w:sz w:val="20"/>
          <w:szCs w:val="20"/>
        </w:rPr>
        <w:t>Popis</w:t>
      </w:r>
      <w:r w:rsidRPr="71E36747" w:rsidR="2DB997A7">
        <w:rPr>
          <w:rStyle w:val="K-Nadpis2Char"/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auto"/>
          <w:sz w:val="20"/>
          <w:szCs w:val="20"/>
        </w:rPr>
        <w:t xml:space="preserve"> </w:t>
      </w:r>
      <w:r w:rsidRPr="71E36747" w:rsidR="5ED66E3C">
        <w:rPr>
          <w:rStyle w:val="K-Nadpis2Char"/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auto"/>
          <w:sz w:val="20"/>
          <w:szCs w:val="20"/>
        </w:rPr>
        <w:t>komponenty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71E36747" w:rsidTr="71E36747" w14:paraId="61769403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5A301A6E" w:rsidP="71E36747" w:rsidRDefault="5A301A6E" w14:paraId="72F935E3" w14:textId="4B35D054">
            <w:pPr>
              <w:pStyle w:val="Default"/>
              <w:spacing w:after="120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auto"/>
                <w:sz w:val="20"/>
                <w:szCs w:val="20"/>
              </w:rPr>
            </w:pPr>
            <w:r w:rsidRPr="71E36747" w:rsidR="5A301A6E">
              <w:rPr>
                <w:rStyle w:val="K-TabulkaChar"/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 xml:space="preserve">Excelentní výzkum a vývoj v prioritních oblastech veřejného zájmu </w:t>
            </w:r>
            <w:r w:rsidRPr="71E36747" w:rsidR="5A301A6E">
              <w:rPr>
                <w:rStyle w:val="K-TabulkaChar"/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>ve zdravotnictví</w:t>
            </w:r>
          </w:p>
          <w:p w:rsidR="71E36747" w:rsidP="71E36747" w:rsidRDefault="71E36747" w14:paraId="7F318B63" w14:textId="72D7D156">
            <w:pPr>
              <w:pStyle w:val="Default"/>
              <w:spacing w:after="120"/>
              <w:jc w:val="both"/>
              <w:rPr>
                <w:rStyle w:val="K-TextChar"/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auto"/>
                <w:sz w:val="20"/>
                <w:szCs w:val="20"/>
              </w:rPr>
            </w:pPr>
            <w:r w:rsidRPr="71E36747" w:rsidR="71E36747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Oblast politiky: </w:t>
            </w:r>
            <w:r w:rsidRPr="71E36747" w:rsidR="6D533520">
              <w:rPr>
                <w:rStyle w:val="K-TextChar"/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color w:val="auto"/>
                <w:sz w:val="20"/>
                <w:szCs w:val="20"/>
                <w:lang w:val="en-GB"/>
              </w:rPr>
              <w:t>Skills, Research policy, Multidisciplinary, Health</w:t>
            </w:r>
          </w:p>
          <w:p w:rsidR="508D6641" w:rsidP="71E36747" w:rsidRDefault="508D6641" w14:paraId="1D087C38" w14:textId="78802B36">
            <w:pPr>
              <w:pStyle w:val="Normln"/>
              <w:spacing w:line="240" w:lineRule="auto"/>
              <w:jc w:val="both"/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71E36747" w:rsidR="508D664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Excelentní výzkum a vývoj v prioritních oblastech ve veřejném zájmu ve zdravotnictví je nyní jednou z priorit </w:t>
            </w:r>
            <w:r w:rsidRPr="71E36747" w:rsidR="508D664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ČR, která je součástí </w:t>
            </w:r>
            <w:r w:rsidRPr="71E36747" w:rsidR="508D664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gesce Ministerstva školství, mládeže a tělovýchovy (MŠMT/MEYS) v oblasti výzkumu a vývoje. Očekává se, že výstupy částečně budou přispívat k zvyšování odolnosti a ke krizové připravenosti zdravotnického výzkumu a částečně také k naplňování některých dalších evropských doporučení a iniciativ. Patří mezi ně např. renovace a modernizace, prohlubování dovedností a vědecká výchova. Tato komponenta je investicí do základního zdravotnického výzkumu. Tato komponenta </w:t>
            </w:r>
            <w:r w:rsidRPr="71E36747" w:rsidR="508D6641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>neřeší přímo aktuální ekonomický problém, ale sleduje dlouhodobější cíle vybudováním excelentní vědecké platformy, nezbytné pro inovace i pro zvyšování odolnosti celého zdravotnického systému</w:t>
            </w:r>
          </w:p>
          <w:p w:rsidR="71E36747" w:rsidP="71E36747" w:rsidRDefault="71E36747" w14:paraId="435B12B2" w14:textId="218DA4FA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71E36747" w:rsidR="71E36747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Cíl: </w:t>
            </w:r>
          </w:p>
          <w:p w:rsidR="6DFA14E1" w:rsidP="71E36747" w:rsidRDefault="6DFA14E1" w14:paraId="7E0D4DAE" w14:textId="21C4BC9E">
            <w:pPr>
              <w:pStyle w:val="Default"/>
              <w:spacing w:after="120"/>
              <w:jc w:val="both"/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6DFA14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Cílem zvolené investice, tj. „Systémové podpory </w:t>
            </w:r>
            <w:proofErr w:type="spellStart"/>
            <w:r w:rsidRPr="71E36747" w:rsidR="6DFA14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VaVaI</w:t>
            </w:r>
            <w:proofErr w:type="spellEnd"/>
            <w:r w:rsidRPr="71E36747" w:rsidR="6DFA14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pro prioritní oblasti lékařských věd a související společenskovědní disciplíny“, je podpořit primárně základní výzkum v konkrétních, státem vymezených zdravotnických oborech. Tato primární investice do vědecké základny v prioritních oblastech zdravotnického výzkumu přinese i systémovou změnu v podobě vzniku 4-5 funkčních národních výzkumných autorit, které se soustředí na obory s vysokou smrtností, zejména na výzkum v oblasti </w:t>
            </w:r>
            <w:r w:rsidRPr="71E36747" w:rsidR="6DFA14E1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infekčních chorob a virologie, onkologický výzkum, výzkum metabolických onemocnění a kardiovaskulárních chorob, vč., výzkumu v oblasti neurověd, neurodegenerativních chorob a psychiatrie, a společenskovědní výzkum studujících socioekonomické dopady systémových zdravotních rizik</w:t>
            </w:r>
            <w:r w:rsidRPr="71E36747" w:rsidR="6DFA14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(dále jen „prioritní oblasti </w:t>
            </w:r>
            <w:proofErr w:type="spellStart"/>
            <w:r w:rsidRPr="71E36747" w:rsidR="6DFA14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VaV</w:t>
            </w:r>
            <w:proofErr w:type="spellEnd"/>
            <w:r w:rsidRPr="71E36747" w:rsidR="6DFA14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“).</w:t>
            </w:r>
          </w:p>
          <w:p w:rsidR="71E36747" w:rsidP="71E36747" w:rsidRDefault="71E36747" w14:paraId="77ED0198" w14:textId="0FC40390">
            <w:pPr>
              <w:pStyle w:val="Normln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20"/>
                <w:szCs w:val="20"/>
              </w:rPr>
            </w:pPr>
          </w:p>
          <w:p w:rsidR="71E36747" w:rsidP="71E36747" w:rsidRDefault="71E36747" w14:paraId="5F9B9FC5" w14:textId="5400B1C4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71E36747" w:rsidR="71E36747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Reformy a investice: </w:t>
            </w:r>
          </w:p>
          <w:p w:rsidR="7A294DE1" w:rsidP="71E36747" w:rsidRDefault="7A294DE1" w14:paraId="47C863F2" w14:textId="30B342B3">
            <w:pPr>
              <w:pStyle w:val="Default"/>
              <w:spacing w:after="120"/>
              <w:jc w:val="both"/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</w:pP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 xml:space="preserve">COFOG: 07.5 Výzkum vztahující se k medicíně a zdraví </w:t>
            </w:r>
            <w:r>
              <w:br/>
            </w:r>
            <w:proofErr w:type="spellStart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>Flagships</w:t>
            </w:r>
            <w:proofErr w:type="spellEnd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 xml:space="preserve">: </w:t>
            </w:r>
            <w:proofErr w:type="spellStart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>Reskill</w:t>
            </w:r>
            <w:proofErr w:type="spellEnd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 xml:space="preserve"> and </w:t>
            </w:r>
            <w:proofErr w:type="spellStart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>upskill</w:t>
            </w:r>
            <w:proofErr w:type="spellEnd"/>
          </w:p>
          <w:p w:rsidR="7A294DE1" w:rsidP="71E36747" w:rsidRDefault="7A294DE1" w14:paraId="28FBE345" w14:textId="1DDF481D">
            <w:pPr>
              <w:pStyle w:val="Default"/>
              <w:spacing w:after="120"/>
              <w:jc w:val="both"/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MŠMT/MEYS zvolilo jedinou cílenou investici do základního výzkumu v oblasti zdravotnictví v podobě „Systémové podpory </w:t>
            </w:r>
            <w:proofErr w:type="spellStart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VaVaI</w:t>
            </w:r>
            <w:proofErr w:type="spellEnd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pro prioritní oblasti lékařských věd a souvisejících společenskovědních disciplín“. Vědecké disciplíny byly vymezeny na základě analytických a statistických dat, a dále komplementárně k existujícím národním opatřením, která naplněním svého základního cíle, vznikem 4 až 5 národních výzkumných autorit přinese do prioritn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í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ch oblastí </w:t>
            </w:r>
            <w:proofErr w:type="spellStart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VaV</w:t>
            </w:r>
            <w:proofErr w:type="spellEnd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kvalitativní změnu s celospolečenským dopadem jak do oblasti fungování státní správy 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České republiky (ČR) 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 krizových situacích obdobných krizi spojené s epidemickou situací COVID-19, tak i trvalejšími pozitivními přínosy pro výzkum a tedy i pro odbornou a širší laickou veřejnost zejména produkc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í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mezinárodně konkurenceschopných </w:t>
            </w:r>
            <w:proofErr w:type="spellStart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VaV</w:t>
            </w:r>
            <w:proofErr w:type="spellEnd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výsledků a zrychlením transferu znalostí v předmětných prioritních oblastech </w:t>
            </w:r>
            <w:proofErr w:type="spellStart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VaV</w:t>
            </w:r>
            <w:proofErr w:type="spellEnd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.</w:t>
            </w:r>
          </w:p>
          <w:p w:rsidR="7A294DE1" w:rsidP="71E36747" w:rsidRDefault="7A294DE1" w14:paraId="611EBAC5" w14:textId="4D021F31">
            <w:pPr>
              <w:pStyle w:val="Default"/>
              <w:spacing w:after="120"/>
              <w:jc w:val="both"/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Finanční podpora musí eliminovat stávající roztříštěnost, motivovat dlouhodobému sdružení a stmelení existujících výzkumných ohnisek, k jejich vzájemné kooperaci a sdílení kapacit napříč ČR</w:t>
            </w:r>
            <w:r w:rsidRPr="71E36747">
              <w:rPr>
                <w:rStyle w:val="Znakapoznpodarou"/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footnoteReference w:id="17563"/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, a k modernizaci těchto kapacit. Výsledkem bude vytvoření jednotné národní platformy(„</w:t>
            </w:r>
            <w:proofErr w:type="spellStart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one</w:t>
            </w:r>
            <w:proofErr w:type="spellEnd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integrated</w:t>
            </w:r>
            <w:proofErr w:type="spellEnd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national</w:t>
            </w:r>
            <w:proofErr w:type="spellEnd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platform</w:t>
            </w:r>
            <w:proofErr w:type="spellEnd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“) na úrovni národních vědeckých autorit, které budou organicky začleněny do existující struktury výzkumných organizací a univerzit v ČR, které systematicky zajistí nezbytné odborné, v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ě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decké zázemí pro potřeby státní správy, odborné i širší veřejnosti, umožní rychlejší a transparentnější sdílení relevantních a vědecky ověřených informací a výsledků </w:t>
            </w:r>
            <w:proofErr w:type="spellStart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VaVaI</w:t>
            </w:r>
            <w:proofErr w:type="spellEnd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nové kvality v prioritních oblastech zdravotnického výzkumu i napříč obory. Podpoření excelentní vědecké základny současně umožní rychlejší reakce a odbornou podporu pro vlastní 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řízení státní správy v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 krizových obdobích v prioritní oblasti jejího zájmu a zvýší odolnost celého zdravotnického systému. </w:t>
            </w:r>
            <w:proofErr w:type="spellStart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Covidová</w:t>
            </w:r>
            <w:proofErr w:type="spellEnd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krize se stala výzvou i impulsem urychleně řešit národní potřeby 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Č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R ve vědních oborech směřujících do zdravotnictví a ukázala nedostatečnost vědecké základny v některých oblastech se statisticky vysokou smrtností, jako je oblast infekčních chorob, onkologických nebo metabolických, neurodegenerativních, cerebrovaskulárních a kardiovaskulárních poruch. Celosvětová pandemie COVID-19 zasáhla zdraví občanů i v oblasti neurologických a duševních onemocnění, které dobře identifikují i zahraniční studie. Dobře zdokumentovány jsou např. dopady COVID-19 právě na oblast neurodegenerativních poruch, cévních a autoimunitních onemocnění centrální nervové soustavy, ale také na oblast duševních onemocnění.</w:t>
            </w:r>
            <w:r w:rsidRPr="71E36747">
              <w:rPr>
                <w:rStyle w:val="Znakapoznpodarou"/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footnoteReference w:id="26096"/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Klíčovou potřebou je také podpora specifické průřezov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é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oblasti socioekonomických dopadů takovýchto typů nemocí a dopadů systémových zdravotních rizik.</w:t>
            </w:r>
            <w:r w:rsidRPr="71E36747" w:rsidR="7A294DE1">
              <w:rPr>
                <w:rStyle w:val="Znakapoznpodarou"/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 xml:space="preserve"> </w:t>
            </w:r>
            <w:r w:rsidRPr="71E36747">
              <w:rPr>
                <w:rStyle w:val="Znakapoznpodarou"/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footnoteReference w:id="14179"/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  <w:p w:rsidR="7A294DE1" w:rsidP="71E36747" w:rsidRDefault="7A294DE1" w14:noSpellErr="1" w14:paraId="6BA7D2E0" w14:textId="080911D6">
            <w:pPr>
              <w:pStyle w:val="Default"/>
              <w:spacing w:after="120"/>
              <w:jc w:val="both"/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Ze základního charakteru výše identifikované celospolečenské potřeby zde vyplývá návaznost na některé vlajkové iniciativy:</w:t>
            </w:r>
          </w:p>
          <w:p w:rsidR="7A294DE1" w:rsidP="71E36747" w:rsidRDefault="7A294DE1" w14:noSpellErr="1" w14:paraId="03C320D9" w14:textId="2938EB86">
            <w:pPr>
              <w:pStyle w:val="Textkomente"/>
              <w:jc w:val="both"/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První z nich je „renovace“. Jak bylo výše zmíněno, plánuje se eliminovat přetrvávající roztříštěnost v uvedených prioritních oborech a přeměnit existující, ne vždy zcela vyhovující výzkumné kapacity v moderní konsolidovaná, konsorciálně propojená a kooperující vědecká zařízení a pracoviště evropského standardu s vysoce kvalifikovanou odbornou obsluhou, která bude dlouhodobě poskytovat R&amp;D služby v ČR na jednotné celostátní platformě a pro obecnější využití i v Open Access režimu, aby došlo k efektivnějšímu využívání a zúročení vložených veřejných prostředků, obdobně, jak je tomu např.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u velkých výzkumných infrastruktur z cestovní mapy ČR</w:t>
            </w:r>
            <w:r w:rsidRPr="71E36747">
              <w:rPr>
                <w:rStyle w:val="Znakapoznpodarou"/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footnoteReference w:id="31748"/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</w:p>
          <w:p w:rsidR="7A294DE1" w:rsidP="71E36747" w:rsidRDefault="7A294DE1" w14:paraId="0C6C2608" w14:textId="5F218768">
            <w:pPr>
              <w:pStyle w:val="Default"/>
              <w:spacing w:after="120"/>
              <w:jc w:val="both"/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S tím 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ú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zce souvisí iniciativa „modernizovat“. Modernizace celého systému, který v ČR za stávajícího stavu dosud není ve výše identifikovaných prioritních oblastech schopen poskytovat v potřebném rozsahu komplexní informace o výsledcích </w:t>
            </w:r>
            <w:proofErr w:type="spellStart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VaVaI</w:t>
            </w:r>
            <w:proofErr w:type="spellEnd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v oblasti zdravotnického výzkumu, vědecká data nebo interoperabilní, personalizované a uživatelsky vstřícné digitální veřejné služby pro výzkum a vývoj, odborné univerzitní vzdělávání, i pro potřeby státní správy a širší veřejnosti. </w:t>
            </w:r>
            <w:proofErr w:type="spellStart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Covidová</w:t>
            </w:r>
            <w:proofErr w:type="spellEnd"/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krize též odhalila, 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že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v některých směrech jsou relevantní vědecké informace sdíleny a poskytovány 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často jen lokálně, 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 omezeném rozsahu a směřují jen k odborné veřejnosti. Očekává se, že pro danou oblast svěřených kompetencí toto v ČR zajistí nové národní vědecké autority</w:t>
            </w:r>
            <w:r w:rsidRPr="71E36747">
              <w:rPr>
                <w:rStyle w:val="Znakapoznpodarou"/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footnoteReference w:id="2952"/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>.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  <w:p w:rsidR="7A294DE1" w:rsidP="71E36747" w:rsidRDefault="7A294DE1" w14:noSpellErr="1" w14:paraId="7317453C" w14:textId="75AB1A78">
            <w:pPr>
              <w:pStyle w:val="Default"/>
              <w:spacing w:after="120"/>
              <w:jc w:val="both"/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Investice podpoří částečně i další z iniciativ, kterou je „změna kvalifikace a prohlubování dovedností”: Současný stav v ČR lze mimo jiné charakterizovat i odbornou názorovou roztříštěností, některými významnými, ale ojedinělými úspěchy jednotlivců, ne vždy komplexně spolupracujících v rámci ČR transferem znalostí nebo s ne vždy dostatečnou pokročilou vědeckou výchovou v prioritn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í</w:t>
            </w:r>
            <w:r w:rsidRPr="71E36747" w:rsidR="7A294DE1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ch oblastech, která by zajistila vysoce kvalifikované nástupce a kontinuitu v rozvoji progresívních témat. Jedním z požadavků kladených na nové národní vědecké autority bude zajistit mezinárodní konkurenceschopnost výsledků v podpořených prioritních oblastech a současně se aktivně podílet na kvalitní vědecké výchově a transferu znalostí ve v podpořených prioritních oblastech.</w:t>
            </w:r>
          </w:p>
          <w:p w:rsidR="71E36747" w:rsidP="71E36747" w:rsidRDefault="71E36747" w14:paraId="4D56C882" w14:textId="14603AD6">
            <w:pPr>
              <w:pStyle w:val="Normln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</w:p>
          <w:p w:rsidR="71E36747" w:rsidP="71E36747" w:rsidRDefault="71E36747" w14:paraId="20743AF7" w14:textId="610826FB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71E36747" w:rsidR="71E36747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Odhadované náklady: </w:t>
            </w:r>
          </w:p>
          <w:p w:rsidR="0E39E90C" w:rsidP="71E36747" w:rsidRDefault="0E39E90C" w14:paraId="4C10D0B1" w14:textId="3F3162F3">
            <w:pPr>
              <w:pStyle w:val="Normln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20"/>
                <w:szCs w:val="20"/>
              </w:rPr>
            </w:pPr>
            <w:r w:rsidRPr="71E36747" w:rsidR="0E39E90C">
              <w:rPr>
                <w:rStyle w:val="K-TextChar"/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auto"/>
                <w:sz w:val="20"/>
                <w:szCs w:val="20"/>
              </w:rPr>
              <w:t>5 000 000 000 CZK</w:t>
            </w:r>
            <w:r>
              <w:br/>
            </w:r>
          </w:p>
        </w:tc>
      </w:tr>
    </w:tbl>
    <w:p w:rsidRPr="00992741" w:rsidR="005307DD" w:rsidP="71E36747" w:rsidRDefault="00EF374D" w14:paraId="412BD804" w14:textId="78785759">
      <w:pPr>
        <w:pStyle w:val="Default"/>
        <w:spacing w:after="120"/>
        <w:jc w:val="both"/>
        <w:rPr>
          <w:rStyle w:val="K-TextChar"/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auto"/>
          <w:sz w:val="20"/>
          <w:szCs w:val="20"/>
        </w:rPr>
      </w:pPr>
      <w:r w:rsidRPr="71E36747" w:rsidR="2DB997A7">
        <w:rPr>
          <w:rStyle w:val="K-TextChar"/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auto"/>
          <w:sz w:val="20"/>
          <w:szCs w:val="20"/>
        </w:rPr>
        <w:t xml:space="preserve"> </w:t>
      </w:r>
    </w:p>
    <w:p w:rsidRPr="00992741" w:rsidR="009350FB" w:rsidP="71E36747" w:rsidRDefault="009350FB" w14:paraId="6C11699D" w14:textId="2611B01B" w14:noSpellErr="1">
      <w:pPr>
        <w:pStyle w:val="Default"/>
        <w:spacing w:after="120"/>
        <w:jc w:val="both"/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413064B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Náklady </w:t>
      </w:r>
      <w:r w:rsidRPr="71E36747" w:rsidR="493FFFF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na celou komponentu </w:t>
      </w:r>
      <w:r w:rsidRPr="71E36747" w:rsidR="413064B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se odhadují v celkové výši 5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 000 </w:t>
      </w:r>
      <w:r w:rsidRPr="71E36747" w:rsidR="413064B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</w:t>
      </w:r>
      <w:r w:rsidRPr="71E36747" w:rsidR="753AE0E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l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67210E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Kč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; </w:t>
      </w:r>
      <w:r w:rsidRPr="71E36747" w:rsidR="413064B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 toho 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se plánuje </w:t>
      </w:r>
      <w:r w:rsidRPr="71E36747" w:rsidR="413064B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 roce 2022 vyčerpat </w:t>
      </w:r>
      <w:r w:rsidRPr="71E36747" w:rsidR="413064B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1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 000 </w:t>
      </w:r>
      <w:r w:rsidRPr="71E36747" w:rsidR="413064B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</w:t>
      </w:r>
      <w:r w:rsidRPr="71E36747" w:rsidR="753AE0E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l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67210E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Kč</w:t>
      </w:r>
      <w:r w:rsidRPr="71E36747" w:rsidR="413064B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  <w:r w:rsidRPr="71E36747" w:rsidR="753AE0E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</w:t>
      </w:r>
      <w:r w:rsidRPr="71E36747" w:rsidR="413064B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roce 202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3</w:t>
      </w:r>
      <w:r w:rsidRPr="71E36747" w:rsidR="413064B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se plánuje vyčerpat </w:t>
      </w:r>
      <w:r w:rsidRPr="71E36747" w:rsidR="413064B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1</w:t>
      </w:r>
      <w:r w:rsidRPr="71E36747" w:rsidR="753AE0E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413064B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25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0</w:t>
      </w:r>
      <w:r w:rsidRPr="71E36747" w:rsidR="413064B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m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</w:t>
      </w:r>
      <w:r w:rsidRPr="71E36747" w:rsidR="753AE0E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l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67210E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Kč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v roce 2024 se plánuje čerpat 1 000 mi</w:t>
      </w:r>
      <w:r w:rsidRPr="71E36747" w:rsidR="753AE0E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l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67210E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Kč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v roce 2025, 900 mi</w:t>
      </w:r>
      <w:r w:rsidRPr="71E36747" w:rsidR="753AE0E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l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67210E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Kč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posledním roce realizace, kdy se již neočekávají téměř žádné investice, se plánuje vyčerpat zbývajících 750 mi</w:t>
      </w:r>
      <w:r w:rsidRPr="71E36747" w:rsidR="753AE0E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l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67210E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Kč</w:t>
      </w:r>
      <w:r w:rsidRPr="71E36747" w:rsidR="6EDF4BC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</w:t>
      </w:r>
      <w:r w:rsidRPr="71E36747" w:rsidR="413064B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</w:p>
    <w:p w:rsidRPr="00992741" w:rsidR="00DA7B3B" w:rsidP="71E36747" w:rsidRDefault="00DA7B3B" w14:paraId="6E921BA3" w14:textId="687BA27D">
      <w:pPr>
        <w:pStyle w:val="Default"/>
        <w:spacing w:after="120"/>
        <w:jc w:val="both"/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Odhad výše nákladů vychází ze skutečných nákladů již realizovaných projektů Národních programů udržitelnosti I a II (NPU I a NPU II) a jich původní alokace</w:t>
      </w:r>
      <w:r w:rsidRPr="71E36747" w:rsidR="001F3CAF">
        <w:rPr>
          <w:rStyle w:val="Znakapoznpodarou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footnoteReference w:id="7"/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  <w:r w:rsidRPr="71E36747" w:rsidR="2EDB3B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e státního rozpočtu </w:t>
      </w:r>
      <w:r w:rsidRPr="71E36747" w:rsidR="2EDB3B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bylo 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 průměru čerpáno 114 mil. Kč na projekt, přičemž </w:t>
      </w:r>
      <w:r w:rsidRPr="71E36747" w:rsidR="2EDB3B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intenzita podpory v těchto projektech činila v průměru 55 % a 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celkové uznané náklady na projekt činily v letech 2014-2020 v průměru 206 mil. Kč. Dalším východiskem pro uvedenou alokaci je skutečnost, že skutečné pětileté náklady projektu udržitelnosti konsorciálního, široce multidisciplinárního výzkumného centra</w:t>
      </w:r>
      <w:r w:rsidRPr="71E36747" w:rsidR="52BCE4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CEITEC (LQ1601)</w:t>
      </w:r>
      <w:r w:rsidRPr="71E36747" w:rsidR="002E0D11">
        <w:rPr>
          <w:rStyle w:val="Znakapoznpodarou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footnoteReference w:id="8"/>
      </w:r>
      <w:r w:rsidRPr="71E36747" w:rsidR="2EDB3B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které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2EDB3B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produkovalo 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excelentních vědeck</w:t>
      </w:r>
      <w:r w:rsidRPr="71E36747" w:rsidR="2EDB3B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é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výsledk</w:t>
      </w:r>
      <w:r w:rsidRPr="71E36747" w:rsidR="2EDB3B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y,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které </w:t>
      </w:r>
      <w:r w:rsidRPr="71E36747" w:rsidR="2EDB3B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bylo schopné 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se dobře etablova</w:t>
      </w:r>
      <w:r w:rsidRPr="71E36747" w:rsidR="2EDB3B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t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na mezinárodním poli, které působí i v oborech příbuzných prioritním ob</w:t>
      </w:r>
      <w:r w:rsidRPr="71E36747" w:rsidR="19A29C4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lastem </w:t>
      </w:r>
      <w:proofErr w:type="spellStart"/>
      <w:r w:rsidRPr="71E36747" w:rsidR="19A29C4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</w:t>
      </w:r>
      <w:proofErr w:type="spellEnd"/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2EDB3B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této kompone</w:t>
      </w:r>
      <w:r w:rsidRPr="71E36747" w:rsidR="720216A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</w:t>
      </w:r>
      <w:r w:rsidRPr="71E36747" w:rsidR="2EDB3B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ty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 které je svým rozsahem</w:t>
      </w:r>
      <w:r w:rsidRPr="71E36747" w:rsidR="2EDB3B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působnost</w:t>
      </w:r>
      <w:r w:rsidRPr="71E36747" w:rsidR="2EDB3B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í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i kritickou velikostí určitým očekávaným </w:t>
      </w:r>
      <w:r w:rsidRPr="71E36747" w:rsidR="2EDB3B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 vzorovým 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modelem pro projekty 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této komponenty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dosáhly celkem 1 648 mil. Kč. Náklady na 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jiné, avšak regionálně lokalizované a v rámci ČR nepříliš kooperující, přesto 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mezinárodně uznávané výzkumné centru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m,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která je 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zaměřené výhradně na medicínské obory aplikovaného výzkumu v oblasti kardiologie</w:t>
      </w:r>
      <w:r w:rsidRPr="71E36747" w:rsidR="5EFEBB56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EFEBB56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 neurověd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s převažujícím klinickým výzkumem (ICRC</w:t>
      </w:r>
      <w:r w:rsidRPr="71E36747" w:rsidR="52BCE4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- LQ1605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)</w:t>
      </w:r>
      <w:r w:rsidRPr="71E36747" w:rsidR="002E0D11">
        <w:rPr>
          <w:rStyle w:val="Znakapoznpodarou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footnoteReference w:id="9"/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dosáhly za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pětileté období v NPU II výše 1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731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mil.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Kč. Minimalisticky 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projektově 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řízená udržitelnost centra BIOCEV, které mimo program NPU II samozřejmě disponovalo i dalšími významnějšími institucionálními finančními zdroji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které je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zaměřen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výhradně na základní výzkum v mikrobiologii a 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 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souvisejících biomedicínských oborech, 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která nezahrnovala 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žádný klinický výzkum, si v programu NPU II vyžádala celkové náklady 445,6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mil.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Kč. U ostatních projektů výzkumných center 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 NPU II, působících v jiných vědních oborech 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se celkové náklady v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 letech 2016-2020 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včetně kofinancování pohybovaly v rozmezí 600 – 850 mil. Kč. V programu NPU II ale dv</w:t>
      </w:r>
      <w:r w:rsidRPr="71E36747" w:rsidR="7B8E3E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ě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ze šesti podpořených 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center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neměl</w:t>
      </w:r>
      <w:r w:rsidRPr="71E36747" w:rsidR="7B8E3E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žádné další účastníky, kte</w:t>
      </w:r>
      <w:r w:rsidRPr="71E36747" w:rsidR="7B8E3E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ří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by se přímo podílel</w:t>
      </w:r>
      <w:r w:rsidRPr="71E36747" w:rsidR="7B8E3E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na</w:t>
      </w:r>
      <w:r w:rsidRPr="71E36747" w:rsidR="770B173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financování projektu. Jeden z projektů NPU II měl pouze jednoho a jen tři z projektů sdružily více než 4 další účastníky, tj. lze u nich identifikovat konsorciální uskupení.</w:t>
      </w:r>
      <w:r w:rsidRPr="71E36747" w:rsidR="001C1029">
        <w:rPr>
          <w:rStyle w:val="Znakapoznpodarou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footnoteReference w:id="10"/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Kapacity řešitelských týmů u projektů NPU II, kvalifikace jejich klíčových členů, rozsah jejich výzkumných činností a schopnost produkce kvalitních výsledků, kterou dosud prokazují, odpovídá odhadovaným kritickým hodnotám pro velikost </w:t>
      </w:r>
      <w:r w:rsidRPr="71E36747" w:rsidR="57F1F06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vědeckých 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týmů</w:t>
      </w:r>
      <w:r w:rsidRPr="71E36747" w:rsidR="57F1F06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 jejich výzkumného zázemí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které </w:t>
      </w:r>
      <w:r w:rsidRPr="71E36747" w:rsidR="57F1F06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mají být podpořeny v této komponentě, aby m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oh</w:t>
      </w:r>
      <w:r w:rsidRPr="71E36747" w:rsidR="57F1F06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ly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zajistit kvalitativní posun v produkci výsledků ve </w:t>
      </w:r>
      <w:proofErr w:type="spellStart"/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57F1F06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 vytvořit požadovanou a ucelenou vědeckou platformu na národní úrovni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kter</w:t>
      </w:r>
      <w:r w:rsidRPr="71E36747" w:rsidR="57F1F06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é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7F1F06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jsou cílem této komponenty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Dále se v této komponentě předpokládá značná převaha základního výzkumu se 100 % intenzitou podpory (analogicky k evropskému programu ERC, který byl výše zmíněn) s tím, že návazné klinické studie, průmyslový výzkum v oblasti farmacie a souvisejících oblastech přesáhnou časovou hranici i rámec konsorciálního projektu nebo budou realizovány v návazných projektech jednotlivých aktérů mimo tento program. V jiném případě budou samozřejmě uplatněny limity stanovené GBER. </w:t>
      </w:r>
    </w:p>
    <w:p w:rsidRPr="00992741" w:rsidR="00DA7B3B" w:rsidP="71E36747" w:rsidRDefault="00DA7B3B" w14:paraId="52A203AD" w14:textId="291A5812">
      <w:pPr>
        <w:pStyle w:val="Default"/>
        <w:spacing w:after="120"/>
        <w:jc w:val="both"/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 odkazem na </w:t>
      </w:r>
      <w:r w:rsidRPr="71E36747" w:rsidR="57F1F06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výše 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uvedené </w:t>
      </w:r>
      <w:r w:rsidRPr="71E36747" w:rsidR="57F1F06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 provedený průzkum absorpční kapacity 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lze důvodně očekávat v</w:t>
      </w:r>
      <w:r w:rsidRPr="71E36747" w:rsidR="19A29C4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3D0B147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těchto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prioritních </w:t>
      </w:r>
      <w:r w:rsidRPr="71E36747" w:rsidR="19A29C4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oblastech </w:t>
      </w:r>
      <w:proofErr w:type="spellStart"/>
      <w:r w:rsidRPr="71E36747" w:rsidR="19A29C4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</w:t>
      </w:r>
      <w:proofErr w:type="spellEnd"/>
      <w:r w:rsidRPr="71E36747" w:rsidR="0037455E">
        <w:rPr>
          <w:rStyle w:val="Znakapoznpodarou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footnoteReference w:id="11"/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 realizaci projektů s náklady řádově kolem 1,5</w:t>
      </w:r>
      <w:r w:rsidRPr="71E36747" w:rsidR="51F08B9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11E1D3B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mld. Kč pro pětileté období, pokud to limity stanovené nebo vyjednané Evropskou komisí dovolí. Průměrné roční náklady na 1 projekt se tak odhadují ve výši 250 mil. Kč.</w:t>
      </w:r>
    </w:p>
    <w:p w:rsidRPr="00992741" w:rsidR="00970AA1" w:rsidP="71E36747" w:rsidRDefault="00970AA1" w14:paraId="2854C68D" w14:textId="77777777" w14:noSpellErr="1">
      <w:pPr>
        <w:pStyle w:val="Default"/>
        <w:spacing w:after="120"/>
        <w:jc w:val="both"/>
        <w:rPr>
          <w:rStyle w:val="K-Text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</w:pPr>
    </w:p>
    <w:p w:rsidRPr="00992741" w:rsidR="0015052B" w:rsidP="71E36747" w:rsidRDefault="0015052B" w14:paraId="124215C3" w14:textId="67A6E2AB" w14:noSpellErr="1">
      <w:pPr>
        <w:pStyle w:val="K-Nadpis3"/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</w:pPr>
      <w:r w:rsidRPr="71E36747" w:rsidR="2726F1CA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a) </w:t>
      </w:r>
      <w:r w:rsidRPr="71E36747" w:rsidR="7E3F5435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Detail</w:t>
      </w:r>
      <w:r w:rsidRPr="71E36747" w:rsidR="2726F1CA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komponenty</w:t>
      </w:r>
    </w:p>
    <w:p w:rsidRPr="00F34B12" w:rsidR="00AB426D" w:rsidP="71E36747" w:rsidRDefault="005031B0" w14:paraId="66D49989" w14:textId="5A49EF23" w14:noSpellErr="1">
      <w:pPr>
        <w:pStyle w:val="Default"/>
        <w:spacing w:after="120"/>
        <w:jc w:val="both"/>
        <w:rPr>
          <w:rStyle w:val="K-TextChar"/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auto"/>
          <w:sz w:val="20"/>
          <w:szCs w:val="20"/>
        </w:rPr>
      </w:pP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Komponenta 5.1 „</w:t>
      </w:r>
      <w:r w:rsidRPr="71E36747" w:rsidR="57F1F06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Excelentní výzkum a vývoj v prioritních oblastech veřejného zájmu ve zdravotnictví“ </w:t>
      </w:r>
      <w:r w:rsidRPr="71E36747" w:rsidR="72B128A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byla projednávána meziresortně 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na národní úrovni. Hlavní cíle 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vycházejí z</w:t>
      </w:r>
      <w:r w:rsidRPr="71E36747" w:rsidR="35C448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aktuálních</w:t>
      </w:r>
      <w:r w:rsidRPr="71E36747" w:rsidR="35C448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statisticky podložených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potřeb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72B128A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ze 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zkušeností z krizového řízení v souvislosti s propuknutím epidemie COVID-19</w:t>
      </w:r>
      <w:r w:rsidRPr="71E36747" w:rsidR="72B128A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Zaměření komponenty 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j</w:t>
      </w:r>
      <w:r w:rsidRPr="71E36747" w:rsidR="72B128A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e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podpor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ován</w:t>
      </w:r>
      <w:r w:rsidRPr="71E36747" w:rsidR="72B128A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jak akademickou sférou z 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oblasti aplikovaného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základního výzkumu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tak významn</w:t>
      </w:r>
      <w:r w:rsidRPr="71E36747" w:rsidR="2A21EA9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ými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zástupci sféry aplikační</w:t>
      </w:r>
      <w:r w:rsidRPr="71E36747" w:rsidR="2A21EA9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2A21EA9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která 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zajišťuj</w:t>
      </w:r>
      <w:r w:rsidRPr="71E36747" w:rsidR="2A21EA9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e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kontroluj</w:t>
      </w:r>
      <w:r w:rsidRPr="71E36747" w:rsidR="2A21EA9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e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národní veřejné zdraví v</w:t>
      </w:r>
      <w:r w:rsidRPr="71E36747" w:rsidR="2A21EA9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ČR</w:t>
      </w:r>
      <w:r w:rsidRPr="71E36747" w:rsidR="2A21EA9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2A21EA9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zástupci d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alších složek veřejného života, státní správy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06A9B5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 oblasti hospodářství.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72B128A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Vyjednány byly i s</w:t>
      </w:r>
      <w:r w:rsidRPr="71E36747" w:rsidR="0C38B540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y</w:t>
      </w:r>
      <w:r w:rsidRPr="71E36747" w:rsidR="72B128A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nergie a komplementarita ke komponent</w:t>
      </w:r>
      <w:r w:rsidRPr="71E36747" w:rsidR="03DB39D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ám </w:t>
      </w:r>
      <w:r w:rsidRPr="71E36747" w:rsidR="6EA3A48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6.1. a</w:t>
      </w:r>
      <w:r w:rsidRPr="71E36747" w:rsidR="72B128A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6.2, kter</w:t>
      </w:r>
      <w:r w:rsidRPr="71E36747" w:rsidR="6EA3A48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é </w:t>
      </w:r>
      <w:r w:rsidRPr="71E36747" w:rsidR="676DCC9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své aktivity zaměřují</w:t>
      </w:r>
      <w:r w:rsidRPr="71E36747" w:rsidR="6EA3A48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676DCC9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na rozvoj samotné zdravotní </w:t>
      </w:r>
      <w:r w:rsidRPr="71E36747" w:rsidR="6EA3A48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péče</w:t>
      </w:r>
      <w:r w:rsidRPr="71E36747" w:rsidR="676DCC9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specializačního a postgraduálního vzdělávání zdravotnických pracovníků a rozvoj</w:t>
      </w:r>
      <w:r w:rsidRPr="71E36747" w:rsidR="676DCC9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676DCC9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preventivních programů. </w:t>
      </w:r>
      <w:r w:rsidRPr="71E36747" w:rsidR="73BA50B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</w:t>
      </w:r>
      <w:r w:rsidRPr="71E36747" w:rsidR="6EA3A48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ředmětem </w:t>
      </w:r>
      <w:r w:rsidRPr="71E36747" w:rsidR="73BA50B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této </w:t>
      </w:r>
      <w:r w:rsidRPr="71E36747" w:rsidR="6EA3A48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komponenty 5.1.</w:t>
      </w:r>
      <w:r w:rsidRPr="71E36747" w:rsidR="42ED0E70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73BA50B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je komplementární stmelení 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existující 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oborové výzkumné infrastruktury v jednotnou platformu, na jím základě pak</w:t>
      </w:r>
      <w:r w:rsidRPr="71E36747" w:rsidR="73BA50B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vybudování 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 rozvoj </w:t>
      </w:r>
      <w:r w:rsidRPr="71E36747" w:rsidR="73BA50B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kvalit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ativně lepší</w:t>
      </w:r>
      <w:r w:rsidRPr="71E36747" w:rsidR="73BA50B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vědecké základny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 efektivním využitím identifikovaného potenciálu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 úzce vymezených prioritních oborech</w:t>
      </w:r>
      <w:r w:rsidRPr="71E36747" w:rsidR="73BA50B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 Investice do excelentního výzkumu v komponentě 5.1 n</w:t>
      </w:r>
      <w:r w:rsidRPr="71E36747" w:rsidR="73BA50B8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e</w:t>
      </w:r>
      <w:r w:rsidRPr="71E36747" w:rsidR="66CA81D3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podporuje vlastní léčebnou praxi</w:t>
      </w:r>
      <w:r w:rsidRPr="71E36747" w:rsidR="075C50D3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,</w:t>
      </w:r>
      <w:r w:rsidRPr="71E36747" w:rsidR="66CA81D3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vznik a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ni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provoz léčebn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ých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zařízení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ni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konečnou fázi </w:t>
      </w:r>
      <w:r w:rsidRPr="71E36747" w:rsidR="792A8290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vlastní 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implementace certifikovaných výsledků výzkumu do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zdravotnické praxe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</w:t>
      </w:r>
      <w:r w:rsidRPr="71E36747" w:rsidR="5F0C83A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  <w:r w:rsidRPr="71E36747" w:rsidR="66CA81D3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a proto </w:t>
      </w:r>
      <w:r w:rsidRPr="71E36747" w:rsidR="792A8290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také </w:t>
      </w:r>
      <w:r w:rsidRPr="71E36747" w:rsidR="66CA81D3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nebude mít </w:t>
      </w:r>
      <w:r w:rsidRPr="71E36747" w:rsidR="73BA50B8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přímý dopad na pacienty</w:t>
      </w:r>
      <w:r w:rsidRPr="71E36747" w:rsidR="66CA81D3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. Její investice s</w:t>
      </w:r>
      <w:r w:rsidRPr="71E36747" w:rsidR="73BA50B8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měř</w:t>
      </w:r>
      <w:r w:rsidRPr="71E36747" w:rsidR="66CA81D3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uje</w:t>
      </w:r>
      <w:r w:rsidRPr="71E36747" w:rsidR="73BA50B8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do </w:t>
      </w:r>
      <w:r w:rsidRPr="71E36747" w:rsidR="66CA81D3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zdravotnických vědních </w:t>
      </w:r>
      <w:r w:rsidRPr="71E36747" w:rsidR="73BA50B8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o</w:t>
      </w:r>
      <w:r w:rsidRPr="71E36747" w:rsidR="1BD3B38E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b</w:t>
      </w:r>
      <w:r w:rsidRPr="71E36747" w:rsidR="73BA50B8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or</w:t>
      </w:r>
      <w:r w:rsidRPr="71E36747" w:rsidR="66CA81D3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ů</w:t>
      </w:r>
      <w:r w:rsidRPr="71E36747" w:rsidR="1BD3B38E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, kde je statisticky identifikována </w:t>
      </w:r>
      <w:r w:rsidRPr="71E36747" w:rsidR="73BA50B8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poměrně vysoká smrtnost a </w:t>
      </w:r>
      <w:r w:rsidRPr="71E36747" w:rsidR="1BD3B38E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kde současně </w:t>
      </w:r>
      <w:r w:rsidRPr="71E36747" w:rsidR="73BA50B8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ex</w:t>
      </w:r>
      <w:r w:rsidRPr="71E36747" w:rsidR="1BD3B38E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istuje dostatečný </w:t>
      </w:r>
      <w:r w:rsidRPr="71E36747" w:rsidR="73BA50B8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potenciál k</w:t>
      </w:r>
      <w:r w:rsidRPr="71E36747" w:rsidR="1BD3B38E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 dosažení </w:t>
      </w:r>
      <w:r w:rsidRPr="71E36747" w:rsidR="73BA50B8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excelenc</w:t>
      </w:r>
      <w:r w:rsidRPr="71E36747" w:rsidR="1BD3B38E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e</w:t>
      </w:r>
      <w:r w:rsidRPr="71E36747" w:rsidR="66CA81D3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, kde</w:t>
      </w:r>
      <w:r w:rsidRPr="71E36747" w:rsidR="73BA50B8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</w:t>
      </w:r>
      <w:r w:rsidRPr="71E36747" w:rsidR="1BD3B38E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současně byly identifikovány existující zárodky</w:t>
      </w:r>
      <w:r w:rsidRPr="71E36747" w:rsidR="73BA50B8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spolupráce</w:t>
      </w:r>
      <w:r w:rsidRPr="71E36747" w:rsidR="66CA81D3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.</w:t>
      </w:r>
      <w:r w:rsidRPr="71E36747" w:rsidR="005E44E2">
        <w:rPr>
          <w:rStyle w:val="Znakapoznpodarou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footnoteReference w:id="12"/>
      </w:r>
      <w:r w:rsidRPr="71E36747" w:rsidR="1BD3B38E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</w:t>
      </w:r>
    </w:p>
    <w:p w:rsidRPr="00992741" w:rsidR="00E06C80" w:rsidP="71E36747" w:rsidRDefault="00D02FF4" w14:paraId="42CBE0B0" w14:textId="5711F2E5" w14:noSpellErr="1">
      <w:pPr>
        <w:pStyle w:val="Briefinglist1"/>
        <w:keepLines w:val="0"/>
        <w:tabs>
          <w:tab w:val="clear" w:pos="284"/>
        </w:tabs>
        <w:spacing w:before="120"/>
        <w:ind w:left="0" w:firstLine="0"/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</w:pPr>
      <w:r w:rsidRPr="71E36747" w:rsidR="09E333B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K implementaci komponenty c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hceme využít </w:t>
      </w:r>
      <w:r w:rsidRPr="71E36747" w:rsidR="09E333B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existující 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syst</w:t>
      </w:r>
      <w:r w:rsidRPr="71E36747" w:rsidR="2A21EA9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émový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nástroj podle vnitrostátního právního rámce</w:t>
      </w:r>
      <w:r w:rsidRPr="71E36747" w:rsidR="6116E19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, kterým je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program </w:t>
      </w:r>
      <w:r w:rsidRPr="71E36747" w:rsidR="73D99CD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podpory 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výzkumu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 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vývoje</w:t>
      </w:r>
      <w:r w:rsidRPr="71E36747" w:rsidR="5AF3095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6116E19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podle zák. č. 130/2002 Sb</w:t>
      </w:r>
      <w:r w:rsidRPr="71E36747" w:rsidR="1F92DDB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.</w:t>
      </w:r>
      <w:r w:rsidRPr="71E36747" w:rsidR="00C55DFB">
        <w:rPr>
          <w:rStyle w:val="Znakapoznpodarou"/>
          <w:rFonts w:ascii="Calibri" w:hAnsi="Calibri" w:eastAsia="Calibri" w:cs="Calibri" w:asciiTheme="minorAscii" w:hAnsiTheme="minorAscii" w:eastAsiaTheme="minorAscii" w:cstheme="minorAscii"/>
          <w:sz w:val="20"/>
          <w:szCs w:val="20"/>
          <w:lang w:val="cs-CZ"/>
        </w:rPr>
        <w:footnoteReference w:id="13"/>
      </w:r>
      <w:r w:rsidRPr="71E36747" w:rsidR="6116E19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Program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bude přísně moderován na principu „shora dolů“. 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Záměrem podpory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v 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programu je </w:t>
      </w:r>
      <w:r w:rsidRPr="71E36747" w:rsidR="6116E19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motivovat existujících špičkové vědecké týmy v ČR a 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iniciovat</w:t>
      </w:r>
      <w:r w:rsidRPr="71E36747" w:rsidR="6116E19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jejich 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mobiliz</w:t>
      </w:r>
      <w:r w:rsidRPr="71E36747" w:rsidR="6116E19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aci k</w:t>
      </w:r>
      <w:r w:rsidRPr="71E36747" w:rsidR="7DCCBFC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vytvoř</w:t>
      </w:r>
      <w:r w:rsidRPr="71E36747" w:rsidR="6116E19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ení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interinstitucionální</w:t>
      </w:r>
      <w:r w:rsidRPr="71E36747" w:rsidR="6116E19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ch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, interdisciplinární</w:t>
      </w:r>
      <w:r w:rsidRPr="71E36747" w:rsidR="6116E19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ch,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6116E19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národních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 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mezinárodn</w:t>
      </w:r>
      <w:r w:rsidRPr="71E36747" w:rsidR="6116E19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ě etablovaných vědeckých platforem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, které projdou přísným hodnocením</w:t>
      </w:r>
      <w:r w:rsidRPr="71E36747" w:rsidR="6116E19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, které budou mít jasnou perspektivu následného institucionálního financování a které budou 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zakotveny v evropských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 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globálních výzkumných sítích, které se řídí mezinárodně konkurenčním modelem správy</w:t>
      </w:r>
      <w:r w:rsidRPr="71E36747" w:rsidR="004452D3">
        <w:rPr>
          <w:rStyle w:val="Znakapoznpodarou"/>
          <w:rFonts w:ascii="Calibri" w:hAnsi="Calibri" w:eastAsia="Calibri" w:cs="Calibri" w:asciiTheme="minorAscii" w:hAnsiTheme="minorAscii" w:eastAsiaTheme="minorAscii" w:cstheme="minorAscii"/>
          <w:sz w:val="20"/>
          <w:szCs w:val="20"/>
          <w:lang w:val="cs-CZ"/>
        </w:rPr>
        <w:footnoteReference w:id="14"/>
      </w:r>
      <w:r w:rsidRPr="71E36747" w:rsidR="7DCCBFC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.</w:t>
      </w:r>
      <w:r w:rsidRPr="71E36747" w:rsidR="73D99CD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</w:p>
    <w:p w:rsidRPr="00F34B12" w:rsidR="00D04686" w:rsidP="71E36747" w:rsidRDefault="00CA5825" w14:paraId="642B9F73" w14:textId="3C5DFB6B">
      <w:pPr>
        <w:pStyle w:val="Briefinglist1"/>
        <w:keepLines w:val="0"/>
        <w:tabs>
          <w:tab w:val="clear" w:pos="284"/>
        </w:tabs>
        <w:spacing w:before="120"/>
        <w:ind w:left="0" w:firstLine="0"/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</w:pPr>
      <w:r w:rsidRPr="71E36747" w:rsidR="32BE3F2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K zvýšení efektivity vkládaných veřejných prostředků bude investice do zdravotnického výzkumu realizována programovými </w:t>
      </w:r>
      <w:proofErr w:type="spellStart"/>
      <w:r w:rsidRPr="71E36747" w:rsidR="32BE3F2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VaV</w:t>
      </w:r>
      <w:proofErr w:type="spellEnd"/>
      <w:r w:rsidRPr="71E36747" w:rsidR="32BE3F2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projekty, vybranými v transparentní veřejné soutěži ve </w:t>
      </w:r>
      <w:proofErr w:type="spellStart"/>
      <w:r w:rsidRPr="71E36747" w:rsidR="32BE3F2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VaVaI</w:t>
      </w:r>
      <w:proofErr w:type="spellEnd"/>
      <w:r w:rsidRPr="71E36747" w:rsidR="32BE3F2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a nesmí být rozpuštěna pouze v provozních nákladech. Proto je i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mplementace nového programu je založena na</w:t>
      </w:r>
      <w:r w:rsidRPr="71E36747" w:rsidR="7DCCBFC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 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ověřených schématech předepsaných </w:t>
      </w:r>
      <w:r w:rsidRPr="71E36747" w:rsidR="2A21EA9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národní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i </w:t>
      </w:r>
      <w:r w:rsidRPr="71E36747" w:rsidR="2A21EA9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evropskou legislativou, 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zák.</w:t>
      </w:r>
      <w:r w:rsidRPr="71E36747" w:rsidR="21B45BC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č.130/2002Sb.</w:t>
      </w:r>
      <w:r w:rsidRPr="71E36747" w:rsidR="54DE6BB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,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 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nařízením Komise č. 651/2014</w:t>
      </w:r>
      <w:r w:rsidRPr="71E36747" w:rsidR="002059FE">
        <w:rPr>
          <w:rStyle w:val="Znakapoznpodarou"/>
          <w:rFonts w:ascii="Calibri" w:hAnsi="Calibri" w:eastAsia="Calibri" w:cs="Calibri" w:asciiTheme="minorAscii" w:hAnsiTheme="minorAscii" w:eastAsiaTheme="minorAscii" w:cstheme="minorAscii"/>
          <w:sz w:val="20"/>
          <w:szCs w:val="20"/>
          <w:lang w:val="cs-CZ"/>
        </w:rPr>
        <w:footnoteReference w:id="15"/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(GBER)</w:t>
      </w:r>
      <w:r w:rsidRPr="71E36747" w:rsidR="35C448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29A419A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a Rámcem pro státní podporu </w:t>
      </w:r>
      <w:proofErr w:type="spellStart"/>
      <w:r w:rsidRPr="71E36747" w:rsidR="520A5CC1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VaVaI</w:t>
      </w:r>
      <w:proofErr w:type="spellEnd"/>
      <w:r w:rsidRPr="71E36747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vertAlign w:val="superscript"/>
          <w:lang w:val="cs-CZ"/>
        </w:rPr>
        <w:footnoteReference w:id="16"/>
      </w:r>
      <w:r w:rsidRPr="71E36747" w:rsidR="325908F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, </w:t>
      </w:r>
      <w:r w:rsidRPr="71E36747" w:rsidR="35C448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které zajistí efekt</w:t>
      </w:r>
      <w:r w:rsidRPr="71E36747" w:rsidR="7DCCBFC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i</w:t>
      </w:r>
      <w:r w:rsidRPr="71E36747" w:rsidR="35C448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vní využití prostředků standardním a systémově státem kontrolovaným způsobem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.</w:t>
      </w:r>
      <w:r w:rsidRPr="71E36747" w:rsidR="0A69198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22A3E0D0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</w:p>
    <w:p w:rsidRPr="00992741" w:rsidR="003F7D17" w:rsidP="71E36747" w:rsidRDefault="003F7D17" w14:paraId="7461640D" w14:textId="3F1AA21F">
      <w:pPr>
        <w:pStyle w:val="Briefinglist1"/>
        <w:keepLines w:val="0"/>
        <w:tabs>
          <w:tab w:val="clear" w:pos="284"/>
        </w:tabs>
        <w:spacing w:before="120"/>
        <w:ind w:left="0" w:firstLine="0"/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</w:pP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Na základě výsledků veřejné soutěže nový program </w:t>
      </w:r>
      <w:proofErr w:type="spellStart"/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VaVaI</w:t>
      </w:r>
      <w:proofErr w:type="spellEnd"/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podpoří </w:t>
      </w:r>
      <w:r w:rsidRPr="71E36747" w:rsidR="35C448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4-5</w:t>
      </w:r>
      <w:r w:rsidRPr="71E36747" w:rsidR="206D906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35C448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nejlepších, </w:t>
      </w:r>
      <w:r w:rsidRPr="71E36747" w:rsidR="206D906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rozsáhlejších 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konsorciální</w:t>
      </w:r>
      <w:r w:rsidRPr="71E36747" w:rsidR="206D906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ch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projekt</w:t>
      </w:r>
      <w:r w:rsidRPr="71E36747" w:rsidR="206D906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ů</w:t>
      </w:r>
      <w:r w:rsidRPr="71E36747" w:rsidR="35C448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, které pokryjí</w:t>
      </w:r>
      <w:r w:rsidRPr="71E36747" w:rsidR="5D14B801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spolupráci relevantních univer</w:t>
      </w:r>
      <w:r w:rsidRPr="71E36747" w:rsidR="1F92DDB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z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it, veřejných výzkumných institucí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 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dalších veřejných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i 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soukromých subjektů aplikační sféry zajišťujících potřebný transfer znalostí. Realizace </w:t>
      </w:r>
      <w:r w:rsidRPr="71E36747" w:rsidR="206D906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nízkého počtu 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projektů</w:t>
      </w:r>
      <w:r w:rsidRPr="71E36747" w:rsidR="206D906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umožní centralizaci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 </w:t>
      </w:r>
      <w:r w:rsidRPr="71E36747" w:rsidR="206D906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jasné zacílení finančních prostředků do prioritních témat, úspory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 </w:t>
      </w:r>
      <w:r w:rsidRPr="71E36747" w:rsidR="206D906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jejich efektivní zúročení, bez zbytečného rozdrobování. Přinese </w:t>
      </w:r>
      <w:r w:rsidRPr="71E36747" w:rsidR="2E48A8B3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do systému </w:t>
      </w:r>
      <w:r w:rsidRPr="71E36747" w:rsidR="1D2D22F1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i </w:t>
      </w:r>
      <w:r w:rsidRPr="71E36747" w:rsidR="2E48A8B3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eliminaci nadbytečné administrativní zátěže. Vlastní realizace programu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i </w:t>
      </w:r>
      <w:r w:rsidRPr="71E36747" w:rsidR="2E48A8B3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projektů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, meziroční monitoring, kontroly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 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evaluace </w:t>
      </w:r>
      <w:r w:rsidRPr="71E36747" w:rsidR="2E48A8B3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budou probíhat osvědčenými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 </w:t>
      </w:r>
      <w:r w:rsidRPr="71E36747" w:rsidR="2E48A8B3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systémem prověřenými postupy 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podle zák. č. 130/2002 Sb.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 </w:t>
      </w:r>
      <w:r w:rsidRPr="71E36747" w:rsidR="7EE7385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dalších souvisejících právních předpisů. </w:t>
      </w:r>
    </w:p>
    <w:p w:rsidRPr="00992741" w:rsidR="006E0317" w:rsidP="71E36747" w:rsidRDefault="005031B0" w14:paraId="13FD7C12" w14:textId="6167ED33" w14:noSpellErr="1">
      <w:pPr>
        <w:pStyle w:val="Briefinglist1"/>
        <w:keepLines w:val="0"/>
        <w:tabs>
          <w:tab w:val="clear" w:pos="284"/>
        </w:tabs>
        <w:spacing w:before="120"/>
        <w:ind w:left="0" w:firstLine="0"/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</w:pP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Skutečnou reformní ambicí je tedy vytvořit celostátní síť propojující potenciál </w:t>
      </w:r>
      <w:r w:rsidRPr="71E36747" w:rsidR="1D2D22F1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již existujících </w:t>
      </w:r>
      <w:r w:rsidRPr="71E36747" w:rsidR="10F8DF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R&amp;D 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pracovišť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v </w:t>
      </w:r>
      <w:bookmarkStart w:name="_Hlk70517680" w:id="4"/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podobě </w:t>
      </w:r>
      <w:r w:rsidRPr="71E36747" w:rsidR="0A51D08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národních vědeckých autorit</w:t>
      </w:r>
      <w:r w:rsidRPr="71E36747" w:rsidR="69626741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7E87A9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kon</w:t>
      </w:r>
      <w:r w:rsidRPr="71E36747" w:rsidR="69626741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s</w:t>
      </w:r>
      <w:r w:rsidRPr="71E36747" w:rsidR="7E87A9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orc</w:t>
      </w:r>
      <w:r w:rsidRPr="71E36747" w:rsidR="69626741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iál</w:t>
      </w:r>
      <w:r w:rsidRPr="71E36747" w:rsidR="7E87A9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ního typu </w:t>
      </w:r>
      <w:bookmarkEnd w:id="4"/>
      <w:r w:rsidRPr="71E36747" w:rsidR="0A51D08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– národních institutů,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0A51D08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obdobně,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jak</w:t>
      </w:r>
      <w:r w:rsidRPr="71E36747" w:rsidR="0A51D08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je tomu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například ve</w:t>
      </w:r>
      <w:r w:rsidRPr="71E36747" w:rsidR="51F08B9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 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Spojených státech</w:t>
      </w:r>
      <w:r w:rsidRPr="71E36747" w:rsidR="7E87A9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, Německu</w:t>
      </w:r>
      <w:r w:rsidRPr="71E36747" w:rsidR="00AF7CDD">
        <w:rPr>
          <w:rStyle w:val="Znakapoznpodarou"/>
          <w:rFonts w:ascii="Calibri" w:hAnsi="Calibri" w:eastAsia="Calibri" w:cs="Calibri" w:asciiTheme="minorAscii" w:hAnsiTheme="minorAscii" w:eastAsiaTheme="minorAscii" w:cstheme="minorAscii"/>
          <w:sz w:val="20"/>
          <w:szCs w:val="20"/>
          <w:lang w:val="cs-CZ"/>
        </w:rPr>
        <w:footnoteReference w:id="17"/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nebo ve Francii. Jednotlivé týmy napříč univerzitami, veřejnými výzkumnými </w:t>
      </w:r>
      <w:r w:rsidRPr="71E36747" w:rsidR="79287D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institucemi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Akademie věd ČR </w:t>
      </w:r>
      <w:r w:rsidRPr="71E36747" w:rsidR="10F8DF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i soukromoprávními výzkumnými organizacemi a aplikační sférou</w:t>
      </w:r>
      <w:r w:rsidRPr="71E36747" w:rsidR="0A51D08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,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0A51D08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které 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provádějí špičkový lékařský výzkum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v 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České republice</w:t>
      </w:r>
      <w:r w:rsidRPr="71E36747" w:rsidR="0A51D08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často </w:t>
      </w:r>
      <w:r w:rsidRPr="71E36747" w:rsidR="1D2D22F1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působí </w:t>
      </w:r>
      <w:r w:rsidRPr="71E36747" w:rsidR="1BD3B38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z pohledu České republiky lokálně, </w:t>
      </w:r>
      <w:r w:rsidRPr="71E36747" w:rsidR="0A51D08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navzájem odděleně</w:t>
      </w:r>
      <w:r w:rsidRPr="71E36747" w:rsidR="10F8DF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a je třeba je i finančně motivovat ke konsolidaci a kooperaci</w:t>
      </w:r>
      <w:r w:rsidRPr="71E36747" w:rsidR="1D2D22F1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. </w:t>
      </w:r>
      <w:r w:rsidRPr="71E36747" w:rsidR="1BD3B38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Přílišná roztříštěnost a n</w:t>
      </w:r>
      <w:r w:rsidRPr="71E36747" w:rsidR="0A51D08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edostatečná </w:t>
      </w:r>
      <w:r w:rsidRPr="71E36747" w:rsidR="1D2D22F1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schopnost jejich</w:t>
      </w:r>
      <w:r w:rsidRPr="71E36747" w:rsidR="0A51D08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koordinace se projevovala zejména na</w:t>
      </w:r>
      <w:r w:rsidRPr="71E36747" w:rsidR="1BD3B38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 </w:t>
      </w:r>
      <w:r w:rsidRPr="71E36747" w:rsidR="0A51D08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počátku krizového stavu</w:t>
      </w:r>
      <w:r w:rsidRPr="71E36747" w:rsidR="10F8DF3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a její důsledky pronikly i do veřejnoprávních médií a na sociální sítě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. </w:t>
      </w:r>
    </w:p>
    <w:p w:rsidRPr="00992741" w:rsidR="006E0317" w:rsidP="71E36747" w:rsidRDefault="00CA5825" w14:paraId="38B58966" w14:textId="1A1C8F98" w14:noSpellErr="1">
      <w:pPr>
        <w:pStyle w:val="Briefinglist1"/>
        <w:keepLines w:val="0"/>
        <w:tabs>
          <w:tab w:val="clear" w:pos="284"/>
        </w:tabs>
        <w:spacing w:before="120"/>
        <w:ind w:left="0" w:firstLine="0"/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</w:pPr>
      <w:r w:rsidRPr="71E36747" w:rsidR="32BE3F2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Cílená f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inanční podpora z Národního plánu obnovy umožní </w:t>
      </w:r>
      <w:r w:rsidRPr="71E36747" w:rsidR="1D2D22F1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špičkovým pracovištím v oblastech státem definovaných priorit zvýšit </w:t>
      </w:r>
      <w:r w:rsidRPr="71E36747" w:rsidR="1F92DDB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dlouhodobou </w:t>
      </w:r>
      <w:r w:rsidRPr="71E36747" w:rsidR="1D2D22F1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spolupráci směrem k vyšší efektivitě výzkumu, kvalitě </w:t>
      </w:r>
      <w:r w:rsidRPr="71E36747" w:rsidR="1F92DDB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jeho výsledků a služeb společnosti </w:t>
      </w:r>
      <w:r w:rsidRPr="71E36747" w:rsidR="1D2D22F1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 konkurenceschopnosti v mezinárodním prostředí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. </w:t>
      </w:r>
    </w:p>
    <w:p w:rsidRPr="00992741" w:rsidR="002059FE" w:rsidP="71E36747" w:rsidRDefault="006074A6" w14:paraId="741369DA" w14:textId="319D9AC5" w14:noSpellErr="1">
      <w:pPr>
        <w:pStyle w:val="Briefinglist1"/>
        <w:keepLines w:val="0"/>
        <w:tabs>
          <w:tab w:val="clear" w:pos="284"/>
        </w:tabs>
        <w:spacing w:before="120"/>
        <w:ind w:left="0" w:firstLine="0"/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</w:pPr>
      <w:r w:rsidRPr="71E36747" w:rsidR="5E8C829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Vzhledem k ambici této komponenty dosáhnout kvalitativního posunu ve spolupráci, koordinaci, řízení a efektivitě výzkumu špičkových pracovišť ve vybraných oblastech státního zájmu považujeme za nezbytné v rámci nového programu zmodernizovat a renovovat jejich infrastrukturní vědecká zázemí na evropské standardy a zároveň investovat do vytvoření a rozvoje znalostní sítě nové kvality s efektivním a transparentním řízením (vč. řízení lidských zdrojů ve výzkumu), strategickým dohledem, sdílenou infrastrukturou a kapacitami napříč výzkumným spektrem, generující relevantní R&amp;D výsledky i strategie ve státem definovaných prioritních oblastech 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a </w:t>
      </w:r>
      <w:r w:rsidRPr="71E36747" w:rsidR="5E8C829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díky transferu znalostí a jejich následnému uvádění do</w:t>
      </w:r>
      <w:r w:rsidRPr="71E36747" w:rsidR="51F08B9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 </w:t>
      </w:r>
      <w:r w:rsidRPr="71E36747" w:rsidR="5E8C829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praxe 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s dalšími pozitivními dopady do</w:t>
      </w:r>
      <w:r w:rsidRPr="71E36747" w:rsidR="5E8C829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oblasti léčebné péče a veřejného zdraví (- ty už 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ale </w:t>
      </w:r>
      <w:r w:rsidRPr="71E36747" w:rsidR="5E8C829E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budou realizovány mimo tuto komponentu). </w:t>
      </w:r>
    </w:p>
    <w:p w:rsidRPr="00992741" w:rsidR="00F63BB9" w:rsidP="71E36747" w:rsidRDefault="005345C4" w14:paraId="74AE33C8" w14:textId="2B21794D" w14:noSpellErr="1">
      <w:pPr>
        <w:pStyle w:val="Briefinglist1"/>
        <w:keepLines w:val="0"/>
        <w:tabs>
          <w:tab w:val="clear" w:pos="284"/>
        </w:tabs>
        <w:spacing w:before="120"/>
        <w:ind w:left="0" w:firstLine="0"/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</w:pPr>
      <w:r w:rsidRPr="71E36747" w:rsidR="47336A4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Účastníky projektů podpořených v této komponentě mohou být vědecké týmy z univerzit, veřejných výzkumných institucí sdružených v Akademii věd ČR i působících v oblasti zdravotnictví, ze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 </w:t>
      </w:r>
      <w:r w:rsidRPr="71E36747" w:rsidR="47336A4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soukromoprávních výzkumných organizací</w:t>
      </w:r>
      <w:r w:rsidRPr="71E36747" w:rsidR="60D30D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,</w:t>
      </w:r>
      <w:r w:rsidRPr="71E36747" w:rsidR="47336A4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60D30D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z podniků s výzkumným potenciálem </w:t>
      </w:r>
      <w:r w:rsidRPr="71E36747" w:rsidR="47336A4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a z další subjektů působících ve 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R</w:t>
      </w:r>
      <w:r w:rsidRPr="71E36747" w:rsidR="47336A4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&amp;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D</w:t>
      </w:r>
      <w:r w:rsidRPr="71E36747" w:rsidR="60D30D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jako</w:t>
      </w:r>
      <w:r w:rsidRPr="71E36747" w:rsidR="47336A4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“ověřovatelé</w:t>
      </w:r>
      <w:r w:rsidRPr="71E36747" w:rsidR="60D30D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“</w:t>
      </w:r>
      <w:r w:rsidRPr="71E36747" w:rsidR="47336A4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aplikačních výstupů v</w:t>
      </w:r>
      <w:r w:rsidRPr="71E36747" w:rsidR="60D30D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 identifikovaných prioritních</w:t>
      </w:r>
      <w:r w:rsidRPr="71E36747" w:rsidR="47336A4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oblast</w:t>
      </w:r>
      <w:r w:rsidRPr="71E36747" w:rsidR="60D30D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ech. 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V projektech této investice, jak již bylo zdůrazněno</w:t>
      </w:r>
      <w:r w:rsidRPr="71E36747" w:rsidR="5F029356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,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b</w:t>
      </w:r>
      <w:r w:rsidRPr="71E36747" w:rsidR="60D30D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ud</w:t>
      </w:r>
      <w:r w:rsidRPr="71E36747" w:rsidR="5F029356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ou</w:t>
      </w:r>
      <w:r w:rsidRPr="71E36747" w:rsidR="60D30D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hrazen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y</w:t>
      </w:r>
      <w:r w:rsidRPr="71E36747" w:rsidR="60D30D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pouze 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projektové R&amp;D aktivity</w:t>
      </w:r>
      <w:r w:rsidRPr="71E36747" w:rsidR="60D30D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. V komponentě nebude hrazen běžný </w:t>
      </w:r>
      <w:r w:rsidRPr="71E36747" w:rsidR="47336A4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provoz nemocnic</w:t>
      </w:r>
      <w:r w:rsidRPr="71E36747" w:rsidR="60D30D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, jejich servisních laboratoří</w:t>
      </w:r>
      <w:r w:rsidRPr="71E36747" w:rsidR="47336A4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60D30D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 ani jiných zdravotnických zařízení, ani</w:t>
      </w:r>
      <w:r w:rsidRPr="71E36747" w:rsidR="47336A4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vla</w:t>
      </w:r>
      <w:r w:rsidRPr="71E36747" w:rsidR="60D30D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s</w:t>
      </w:r>
      <w:r w:rsidRPr="71E36747" w:rsidR="47336A4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tní lé</w:t>
      </w:r>
      <w:r w:rsidRPr="71E36747" w:rsidR="60D30D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čebná péče nebo činnosti, které jsou předmětem podpory v jiných komponentách NPO nebo 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v </w:t>
      </w:r>
      <w:r w:rsidRPr="71E36747" w:rsidR="60D30D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jiných dotačních opatření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ch</w:t>
      </w:r>
      <w:r w:rsidRPr="71E36747" w:rsidR="60D30D84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.</w:t>
      </w:r>
    </w:p>
    <w:p w:rsidRPr="00992741" w:rsidR="005031B0" w:rsidP="71E36747" w:rsidRDefault="00F63BB9" w14:paraId="53088716" w14:textId="7303316F" w14:noSpellErr="1">
      <w:pPr>
        <w:pStyle w:val="Briefinglist1"/>
        <w:keepLines w:val="0"/>
        <w:tabs>
          <w:tab w:val="clear" w:pos="284"/>
        </w:tabs>
        <w:spacing w:before="120"/>
        <w:ind w:left="0" w:firstLine="0"/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</w:pPr>
      <w:r w:rsidRPr="71E36747" w:rsidR="2CDC4C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Předmětem podpory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i </w:t>
      </w:r>
      <w:r w:rsidRPr="71E36747" w:rsidR="2CDC4C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nezbytnou podmínkou pro další fungování </w:t>
      </w:r>
      <w:r w:rsidRPr="71E36747" w:rsidR="2C4404B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takto zformovaných národních výzkumných platforem (konsorciálních institutů)</w:t>
      </w:r>
      <w:r w:rsidRPr="71E36747" w:rsidR="2CDC4C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2C4404B5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bude</w:t>
      </w:r>
      <w:r w:rsidRPr="71E36747" w:rsidR="2CDC4C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také 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aplikovaný výzkum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v 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oblasti společenských věd, přímo spojený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s 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podporovanými aktivitami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oblasti zdrav</w:t>
      </w:r>
      <w:r w:rsidRPr="71E36747" w:rsidR="0C1D595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o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tnictví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, který bude systematicky sledovat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 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analyzovat dopady na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 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společnost až na úroveň občanů</w:t>
      </w:r>
      <w:r w:rsidRPr="71E36747" w:rsidR="15E1F833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a jejich sociodemografických skupin (dle pohlaví, věku apod.),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který bude 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identifikovat nové </w:t>
      </w:r>
      <w:r w:rsidRPr="71E36747" w:rsidR="567210E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s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polečenské </w:t>
      </w:r>
      <w:r w:rsidRPr="71E36747" w:rsidR="567210E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výzvy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 </w:t>
      </w:r>
      <w:r w:rsidRPr="71E36747" w:rsidR="2CDC4C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rizika 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a poskytovat vědecká data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v 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prioritních 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oblastech pro potřeby vědecké komunity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 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zejména </w:t>
      </w:r>
      <w:r w:rsidRPr="71E36747" w:rsidR="2CDC4C02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pro 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rozhodování </w:t>
      </w:r>
      <w:r w:rsidRPr="71E36747" w:rsidR="11C4B70F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 </w:t>
      </w:r>
      <w:r w:rsidRPr="71E36747" w:rsidR="6C8AF0BD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účinné řízení vnitrostátních orgánů.</w:t>
      </w:r>
    </w:p>
    <w:p w:rsidRPr="00F34B12" w:rsidR="00F95713" w:rsidP="71E36747" w:rsidRDefault="00F95713" w14:paraId="2D781F78" w14:textId="7511423B" w14:noSpellErr="1">
      <w:pPr>
        <w:pStyle w:val="Briefinglist1"/>
        <w:keepLines w:val="0"/>
        <w:tabs>
          <w:tab w:val="clear" w:pos="284"/>
        </w:tabs>
        <w:spacing w:before="120"/>
        <w:ind w:left="0" w:firstLine="0"/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</w:pP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Obdobně nezbytná je i 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požadovaná 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vysok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á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mír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internacionalizace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národních vědeckých autorit, jejich </w:t>
      </w:r>
      <w:r w:rsidRPr="71E36747" w:rsidR="220B7343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užší 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aktivní zapojení do mezinárodních oborových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organizací 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a 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vědeckých 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sítí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. </w:t>
      </w:r>
      <w:r w:rsidRPr="71E36747" w:rsidR="220B7343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T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aková to zapojení </w:t>
      </w:r>
      <w:r w:rsidRPr="71E36747" w:rsidR="220B7343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by měla 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již existovat </w:t>
      </w:r>
      <w:r w:rsidRPr="71E36747" w:rsidR="220B7343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minimálně na personální úrovni u 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su</w:t>
      </w:r>
      <w:r w:rsidRPr="71E36747" w:rsidR="220B7343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bjektů vstupujících do konsorcií a 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jsou</w:t>
      </w:r>
      <w:r w:rsidRPr="71E36747" w:rsidR="220B7343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jednou z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e</w:t>
      </w:r>
      <w:r w:rsidRPr="71E36747" w:rsidR="51F08B9C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 </w:t>
      </w:r>
      <w:r w:rsidRPr="71E36747" w:rsidR="37410BAA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vstupních 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podmínek pro z</w:t>
      </w:r>
      <w:r w:rsidRPr="71E36747" w:rsidR="220B7343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í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skání podpory</w:t>
      </w:r>
      <w:r w:rsidRPr="71E36747" w:rsidR="220B7343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.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  <w:r w:rsidRPr="71E36747" w:rsidR="220B7343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>Konkrétní způsob internacionalizace a jej</w:t>
      </w:r>
      <w:r w:rsidRPr="71E36747" w:rsidR="220B7343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ího kvalitativního rozvoje v konsorciu bude součástí hodnocení a výběru realizačních projektů v implementačním programu této komponenty. </w:t>
      </w:r>
      <w:r w:rsidRPr="71E36747" w:rsidR="1F360EE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val="cs-CZ"/>
        </w:rPr>
        <w:t xml:space="preserve"> </w:t>
      </w:r>
    </w:p>
    <w:p w:rsidRPr="00992741" w:rsidR="004275B8" w:rsidP="71E36747" w:rsidRDefault="004275B8" w14:paraId="7D90A223" w14:textId="77777777" w14:noSpellErr="1">
      <w:pPr>
        <w:pStyle w:val="Briefinglist1"/>
        <w:keepLines w:val="0"/>
        <w:tabs>
          <w:tab w:val="clear" w:pos="284"/>
        </w:tabs>
        <w:spacing w:before="120" w:line="276" w:lineRule="auto"/>
        <w:ind w:left="134" w:firstLine="13"/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  <w:lang w:val="cs-CZ"/>
        </w:rPr>
      </w:pPr>
    </w:p>
    <w:p w:rsidRPr="00992741" w:rsidR="002C20CF" w:rsidP="71E36747" w:rsidRDefault="002C20CF" w14:paraId="1E505E7D" w14:textId="417A8E1D" w14:noSpellErr="1">
      <w:pPr>
        <w:pStyle w:val="Nadpis2"/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</w:pPr>
      <w:r w:rsidRPr="71E36747" w:rsidR="2DB997A7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2. </w:t>
      </w:r>
      <w:r w:rsidRPr="71E36747" w:rsidR="5ED66E3C">
        <w:rPr>
          <w:rStyle w:val="K-Nadpis2Char"/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auto"/>
          <w:sz w:val="20"/>
          <w:szCs w:val="20"/>
        </w:rPr>
        <w:t xml:space="preserve">Hlavní výzvy </w:t>
      </w:r>
      <w:r w:rsidRPr="71E36747" w:rsidR="11C4B70F">
        <w:rPr>
          <w:rStyle w:val="K-Nadpis2Char"/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auto"/>
          <w:sz w:val="20"/>
          <w:szCs w:val="20"/>
        </w:rPr>
        <w:t>a </w:t>
      </w:r>
      <w:r w:rsidRPr="71E36747" w:rsidR="5ED66E3C">
        <w:rPr>
          <w:rStyle w:val="K-Nadpis2Char"/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auto"/>
          <w:sz w:val="20"/>
          <w:szCs w:val="20"/>
        </w:rPr>
        <w:t>cíle</w:t>
      </w:r>
    </w:p>
    <w:p w:rsidRPr="00992741" w:rsidR="002C20CF" w:rsidP="71E36747" w:rsidRDefault="002C20CF" w14:paraId="4357DEF3" w14:textId="2708450A" w14:noSpellErr="1">
      <w:pPr>
        <w:pStyle w:val="Default"/>
        <w:spacing w:after="120"/>
        <w:jc w:val="both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auto"/>
          <w:sz w:val="20"/>
          <w:szCs w:val="20"/>
        </w:rPr>
      </w:pPr>
      <w:r w:rsidRPr="71E36747" w:rsidR="2DB997A7">
        <w:rPr>
          <w:rStyle w:val="K-Nadpis3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a) </w:t>
      </w:r>
      <w:r w:rsidRPr="71E36747" w:rsidR="5ED66E3C">
        <w:rPr>
          <w:rStyle w:val="K-Nadpis3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Hlavní výzvy</w:t>
      </w:r>
    </w:p>
    <w:p w:rsidRPr="00F34B12" w:rsidR="00DF4B2E" w:rsidP="71E36747" w:rsidRDefault="0066067E" w14:paraId="22E918ED" w14:textId="5052A1DE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75A888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Zdraví </w:t>
      </w:r>
      <w:r w:rsidRPr="71E36747" w:rsidR="1B328B4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 kvalita zdravotnictví jsou</w:t>
      </w:r>
      <w:r w:rsidRPr="71E36747" w:rsidR="75A888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zásadní prioritou celé ČR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</w:t>
      </w:r>
      <w:r w:rsidRPr="71E36747" w:rsidR="1B328B4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ají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75A888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významný ekonomický dopad, který se projevuje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75A888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míře zaměstnanosti či zatížení zdravotního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75A888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sociálního systému. 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Tuto </w:t>
      </w:r>
      <w:r w:rsidRPr="71E36747" w:rsidR="75A888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provázanost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 </w:t>
      </w:r>
      <w:r w:rsidRPr="71E36747" w:rsidR="75A888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národním hospodářstvím podtrhla současná pandemie COVID-19, která si 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nejen </w:t>
      </w:r>
      <w:r w:rsidRPr="71E36747" w:rsidR="75A888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vyžádala zásadní omezení ve všech aspektech života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ale ukázala </w:t>
      </w:r>
      <w:r w:rsidRPr="71E36747" w:rsidR="1B328B4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 některé dílčí, ale z hlediska dopa</w:t>
      </w:r>
      <w:r w:rsidRPr="71E36747" w:rsidR="4260D3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d</w:t>
      </w:r>
      <w:r w:rsidRPr="71E36747" w:rsidR="1B328B4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ů klíčové 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slabiny </w:t>
      </w:r>
      <w:r w:rsidRPr="71E36747" w:rsidR="75A888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zdravotnického systému</w:t>
      </w:r>
      <w:r w:rsidRPr="71E36747" w:rsidR="4260D3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mezery a určitou nedostatečnost v</w:t>
      </w:r>
      <w:r w:rsidRPr="71E36747" w:rsidR="4260D3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ědecké základny zdravotnického výzkumu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nutnost </w:t>
      </w:r>
      <w:r w:rsidRPr="71E36747" w:rsidR="75A888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řešení řady jeho strukturálních problémů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1B328B4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nezbytnost </w:t>
      </w:r>
      <w:r w:rsidRPr="71E36747" w:rsidR="75A888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investic do budov</w:t>
      </w:r>
      <w:r w:rsidRPr="71E36747" w:rsidR="2A6FC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á</w:t>
      </w:r>
      <w:r w:rsidRPr="71E36747" w:rsidR="75A888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ní </w:t>
      </w:r>
      <w:r w:rsidRPr="71E36747" w:rsidR="1B328B4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jeho </w:t>
      </w:r>
      <w:r w:rsidRPr="71E36747" w:rsidR="75A888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specifických kapacit.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</w:p>
    <w:p w:rsidRPr="00992741" w:rsidR="00A005F9" w:rsidP="71E36747" w:rsidRDefault="00A005F9" w14:paraId="360CB7A9" w14:textId="49C2AA03">
      <w:pPr>
        <w:pStyle w:val="K-TextInfo"/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</w:pPr>
      <w:r w:rsidRPr="71E36747" w:rsidR="1B328B4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 podporou analýz zpracovaných Technologickým centrem AV ČR</w:t>
      </w:r>
      <w:r w:rsidRPr="71E36747">
        <w:rPr>
          <w:rStyle w:val="Znakapoznpodarou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footnoteReference w:id="18"/>
      </w:r>
      <w:r w:rsidRPr="71E36747" w:rsidR="1B328B4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dat z IS </w:t>
      </w:r>
      <w:proofErr w:type="spellStart"/>
      <w:r w:rsidRPr="71E36747" w:rsidR="1B328B4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1B328B4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 statistických dat</w:t>
      </w:r>
      <w:r w:rsidRPr="71E36747" w:rsidR="6DF098A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B328B4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Českého statistického úřadu</w:t>
      </w:r>
      <w:r w:rsidRPr="71E36747" w:rsidR="001343E7">
        <w:rPr>
          <w:rStyle w:val="Znakapoznpodarou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footnoteReference w:id="19"/>
      </w:r>
      <w:r w:rsidRPr="71E36747" w:rsidR="6DF098A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B328B4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byly identifikovány ve zdravotnictví </w:t>
      </w:r>
      <w:r w:rsidRPr="71E36747" w:rsidR="0E0699E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prioritní </w:t>
      </w:r>
      <w:r w:rsidRPr="71E36747" w:rsidR="1B328B4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oblasti</w:t>
      </w:r>
      <w:r w:rsidRPr="71E36747" w:rsidR="0E0699E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0E0699E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</w:t>
      </w:r>
      <w:proofErr w:type="spellEnd"/>
      <w:r w:rsidRPr="71E36747" w:rsidR="1B328B4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které se v tomto ohledu jeví jako klíčové</w:t>
      </w:r>
      <w:r w:rsidRPr="71E36747" w:rsidR="7BE5CD96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Jedná se o </w:t>
      </w:r>
      <w:r w:rsidRPr="71E36747" w:rsidR="1B328B4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obory zaměřené na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onemocnění a choroby s nejvyšší nemocností a </w:t>
      </w:r>
      <w:r w:rsidRPr="71E36747" w:rsidR="6DF098A1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vysokým 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počtem úmrtí</w:t>
      </w:r>
      <w:r w:rsidRPr="71E36747" w:rsidR="7BE5CD96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, které jsou proto 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vysoce relevantní z hlediska socioekonomických dopadů</w:t>
      </w:r>
      <w:r w:rsidRPr="71E36747" w:rsidR="7BE5CD96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. Současně jde o</w:t>
      </w:r>
      <w:r w:rsidRPr="71E36747" w:rsidR="476D6E69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 </w:t>
      </w:r>
      <w:r w:rsidRPr="71E36747" w:rsidR="5F029356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o</w:t>
      </w:r>
      <w:r w:rsidRPr="71E36747" w:rsidR="7BE5CD96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bory 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s</w:t>
      </w:r>
      <w:r w:rsidRPr="71E36747" w:rsidR="6DF098A1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 </w:t>
      </w:r>
      <w:r w:rsidRPr="71E36747" w:rsidR="476D6E69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p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otenciálem </w:t>
      </w:r>
      <w:r w:rsidRPr="71E36747" w:rsidR="6DF098A1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exitujících R&amp;D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kapacit reagovat na trendy ve vývoji těchto </w:t>
      </w:r>
      <w:r w:rsidRPr="71E36747" w:rsidR="5F029356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u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kazatelů, </w:t>
      </w:r>
      <w:r w:rsidRPr="71E36747" w:rsidR="7BE5CD96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které mohou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posouvat hranici poznání v oblastech podstatných pro vypořádání se s výzvami, které tato onemocnění pro společnost představují.</w:t>
      </w:r>
    </w:p>
    <w:p w:rsidRPr="00992741" w:rsidR="00A005F9" w:rsidP="71E36747" w:rsidRDefault="00A005F9" w14:paraId="20EE9893" w14:textId="48C3890F">
      <w:pPr>
        <w:pStyle w:val="Default"/>
        <w:spacing w:before="120" w:after="120"/>
        <w:jc w:val="both"/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 pomocí </w:t>
      </w:r>
      <w:proofErr w:type="spellStart"/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bi</w:t>
      </w:r>
      <w:r w:rsidRPr="71E36747" w:rsidR="3D835E3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bli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ometrické</w:t>
      </w:r>
      <w:proofErr w:type="spellEnd"/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analýzy</w:t>
      </w:r>
      <w:r w:rsidRPr="71E36747">
        <w:rPr>
          <w:rStyle w:val="Znakapoznpodarou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footnoteReference w:id="20"/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byly zároveň identifikovány ty medicínské a související obory, které dosahují excelentních výsledků ve </w:t>
      </w:r>
      <w:proofErr w:type="spellStart"/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Prolnutím dat z obou těchto </w:t>
      </w:r>
      <w:r w:rsidRPr="71E36747" w:rsidR="476D6E6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datových 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základen lze určit perspektivní tematické a oborové zacílení </w:t>
      </w:r>
      <w:r w:rsidRPr="71E36747" w:rsidR="7BE5CD96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potřebné investice do výzkumu v této komponentě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které odpovídá potřebnosti rozvoj</w:t>
      </w:r>
      <w:r w:rsidRPr="71E36747" w:rsidR="476D6E6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e 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ČR. V zájmu efektivní alokace veřejných prostředků se konečný výběr prioritních oblastí </w:t>
      </w:r>
      <w:r w:rsidRPr="71E36747" w:rsidR="476D6E6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také 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opírá o analýzu financování </w:t>
      </w:r>
      <w:proofErr w:type="spellStart"/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z veřejných zdrojů</w:t>
      </w:r>
      <w:r w:rsidRPr="71E36747" w:rsidR="002B2226">
        <w:rPr>
          <w:rStyle w:val="Znakapoznpodarou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footnoteReference w:id="21"/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tak, aby podpora směřovala do </w:t>
      </w:r>
      <w:r w:rsidRPr="71E36747" w:rsidR="7BE5CD96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vědních 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oblastí</w:t>
      </w:r>
      <w:r w:rsidRPr="71E36747" w:rsidR="7BE5CD96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které dosud nebyly </w:t>
      </w:r>
      <w:r w:rsidRPr="71E36747" w:rsidR="476D6E6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nebo nebudou 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dostatečně </w:t>
      </w:r>
      <w:r w:rsidRPr="71E36747" w:rsidR="476D6E6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pro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financovány z jiných zdrojů, jako jsou např. OP VVV nebo H2020</w:t>
      </w:r>
      <w:r w:rsidRPr="71E36747" w:rsidR="476D6E69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v budoucnu pak OP JAK</w:t>
      </w:r>
      <w:r w:rsidRPr="71E36747" w:rsidR="3D835E3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 </w:t>
      </w:r>
      <w:r w:rsidRPr="71E36747" w:rsidR="3D835E3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Horizon</w:t>
      </w:r>
      <w:r w:rsidRPr="71E36747" w:rsidR="3D835E3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3D835E3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Europe</w:t>
      </w:r>
      <w:proofErr w:type="spellEnd"/>
      <w:r w:rsidRPr="71E36747" w:rsidR="3D835E38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(HE)</w:t>
      </w: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</w:t>
      </w:r>
      <w:r w:rsidRPr="71E36747">
        <w:rPr>
          <w:rStyle w:val="Znakapoznpodarou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footnoteReference w:id="22"/>
      </w:r>
    </w:p>
    <w:p w:rsidRPr="00F34B12" w:rsidR="00E01FB5" w:rsidP="71E36747" w:rsidRDefault="00A005F9" w14:paraId="7C2CB5E8" w14:textId="2A7826E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Uvedené analýzy odhalují i jednu ze systémových slabin výzkumu ve vybraných prioritních oblastech</w:t>
      </w:r>
      <w:r w:rsidRPr="71E36747" w:rsidR="0E0699E0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</w:t>
      </w:r>
      <w:proofErr w:type="spellStart"/>
      <w:r w:rsidRPr="71E36747" w:rsidR="0E0699E0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VaV</w:t>
      </w:r>
      <w:proofErr w:type="spellEnd"/>
      <w:r w:rsidRPr="71E36747" w:rsidR="1B328B4B">
        <w:rPr>
          <w:rStyle w:val="K-TextInfoChar"/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, kterou </w:t>
      </w:r>
      <w:r w:rsidRPr="71E36747" w:rsidR="2A6FC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je i roztříštěnost</w:t>
      </w:r>
      <w:r w:rsidRPr="71E36747" w:rsidR="7BE5CD96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lokálnost a</w:t>
      </w:r>
      <w:r w:rsidRPr="71E36747" w:rsidR="2A6FC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nedostatečná koordinovanost špičkových vědeckých kapacit, které </w:t>
      </w:r>
      <w:r w:rsidRPr="71E36747" w:rsidR="7BE5CD96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tak ne</w:t>
      </w:r>
      <w:r w:rsidRPr="71E36747" w:rsidR="2A6FC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jsou schopny okamžitě zareagovat na </w:t>
      </w:r>
      <w:r w:rsidRPr="71E36747" w:rsidR="1EC5EAB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náhlý výskyt </w:t>
      </w:r>
      <w:r w:rsidRPr="71E36747" w:rsidR="745B7ED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společenského </w:t>
      </w:r>
      <w:r w:rsidRPr="71E36747" w:rsidR="1EC5EAB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jevu pandemického charakteru s dopadem na zdraví a smrtnost občanů, na společenskou změnu v </w:t>
      </w:r>
      <w:r w:rsidRPr="71E36747" w:rsidR="2A6FC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potřeb</w:t>
      </w:r>
      <w:r w:rsidRPr="71E36747" w:rsidR="1EC5EAB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ách</w:t>
      </w:r>
      <w:r w:rsidRPr="71E36747" w:rsidR="2A6FC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státu i veřejnosti</w:t>
      </w:r>
      <w:r w:rsidRPr="71E36747" w:rsidR="1EC5EAB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 oblasti lékařských věd</w:t>
      </w:r>
      <w:r w:rsidRPr="71E36747" w:rsidR="2A6FC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</w:t>
      </w:r>
      <w:r w:rsidRPr="71E36747" w:rsidR="1EC5EAB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flexibilně </w:t>
      </w:r>
      <w:r w:rsidRPr="71E36747" w:rsidR="2A6FC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poskytnout ucelený a jednotný odborný názor </w:t>
      </w:r>
      <w:r w:rsidRPr="71E36747" w:rsidR="1EC5EAB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na hranici poznání </w:t>
      </w:r>
      <w:r w:rsidRPr="71E36747" w:rsidR="2A6FC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založený na</w:t>
      </w:r>
      <w:r w:rsidRPr="71E36747" w:rsidR="476D6E6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1EC5EAB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znalostech</w:t>
      </w:r>
      <w:r w:rsidRPr="71E36747" w:rsidR="7BE5CD96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</w:t>
      </w:r>
      <w:r w:rsidRPr="71E36747" w:rsidR="1EC5EAB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7BE5CD96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an</w:t>
      </w:r>
      <w:r w:rsidRPr="71E36747" w:rsidR="2A6FC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 potřebná vědecká data</w:t>
      </w:r>
      <w:r w:rsidRPr="71E36747" w:rsidR="1EC5EAB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 Tuto slabinu mapovala jak tradiční</w:t>
      </w:r>
      <w:r w:rsidRPr="71E36747" w:rsidR="1E3C0B3A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</w:t>
      </w:r>
      <w:r w:rsidRPr="71E36747" w:rsidR="1EC5EAB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tak sociální média od</w:t>
      </w:r>
      <w:r w:rsidRPr="71E36747" w:rsidR="476D6E6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1EC5EAB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samého počátku pandemické krize </w:t>
      </w:r>
      <w:r w:rsidRPr="71E36747" w:rsidR="476D6E6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na jaře</w:t>
      </w:r>
      <w:r w:rsidRPr="71E36747" w:rsidR="1EC5EAB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2020 a roztříštěnost názorů vědeckých kapacit a jejich </w:t>
      </w:r>
      <w:r w:rsidRPr="71E36747" w:rsidR="7BE5CD96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častá protichůdnost a </w:t>
      </w:r>
      <w:r w:rsidRPr="71E36747" w:rsidR="1EC5EAB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nejednotnost nepřispíval</w:t>
      </w:r>
      <w:r w:rsidRPr="71E36747" w:rsidR="7BE5CD96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y</w:t>
      </w:r>
      <w:r w:rsidRPr="71E36747" w:rsidR="1EC5EAB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ke zklidňování </w:t>
      </w:r>
      <w:r w:rsidRPr="71E36747" w:rsidR="476D6E6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gradující</w:t>
      </w:r>
      <w:r w:rsidRPr="71E36747" w:rsidR="1EC5EAB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situace ve společnosti. </w:t>
      </w:r>
    </w:p>
    <w:p w:rsidRPr="00992741" w:rsidR="00DD29DE" w:rsidP="71E36747" w:rsidRDefault="00A269E1" w14:paraId="04C56D20" w14:textId="3B65EBA7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0B3794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Jedn</w:t>
      </w:r>
      <w:r w:rsidRPr="71E36747" w:rsidR="6FAEC66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ou</w:t>
      </w:r>
      <w:r w:rsidRPr="71E36747" w:rsidR="0B3794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z cest řešení </w:t>
      </w:r>
      <w:r w:rsidRPr="71E36747" w:rsidR="7BE5CD96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 překonání výše uvedeného problému 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je bezesporu </w:t>
      </w:r>
      <w:r w:rsidRPr="71E36747" w:rsidR="5FBA8AB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zaplnění existující mezery ve</w:t>
      </w:r>
      <w:r w:rsidRPr="71E36747" w:rsidR="476D6E6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5FBA8AB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zdravotnickém výzkumu </w:t>
      </w:r>
      <w:r w:rsidRPr="71E36747" w:rsidR="0B3794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inici</w:t>
      </w:r>
      <w:r w:rsidRPr="71E36747" w:rsidR="476D6E6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ováním</w:t>
      </w:r>
      <w:r w:rsidRPr="71E36747" w:rsidR="0B3794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sjednocení a dobudování</w:t>
      </w:r>
      <w:r w:rsidRPr="71E36747" w:rsidR="5FBA8AB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</w:t>
      </w:r>
      <w:r w:rsidRPr="71E36747" w:rsidR="0B3794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nezbytn</w:t>
      </w:r>
      <w:r w:rsidRPr="71E36747" w:rsidR="0B3794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é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kvalitní výzkumně vývojov</w:t>
      </w:r>
      <w:r w:rsidRPr="71E36747" w:rsidR="65FC01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é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základn</w:t>
      </w:r>
      <w:r w:rsidRPr="71E36747" w:rsidR="0B3794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y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prioritních oborech,</w:t>
      </w:r>
      <w:r w:rsidRPr="71E36747" w:rsidR="65FC01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tj. investice do již existující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65FC01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 v některých ohledech již kvalitní báze s efektivním využitím identifikovaného potenciálu</w:t>
      </w:r>
      <w:r w:rsidRPr="71E36747" w:rsidR="76DB0EC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</w:t>
      </w:r>
      <w:r w:rsidRPr="71E36747" w:rsidR="00752767">
        <w:rPr>
          <w:rStyle w:val="Znakapoznpodarou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footnoteReference w:id="23"/>
      </w:r>
      <w:r w:rsidRPr="71E36747" w:rsidR="76DB0EC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</w:p>
    <w:p w:rsidR="00CE2748" w:rsidP="71E36747" w:rsidRDefault="00EF15B4" w14:paraId="30AB7010" w14:textId="77777777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Toho lze </w:t>
      </w:r>
      <w:r w:rsidRPr="71E36747" w:rsidR="049B06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dle našeho názoru 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dosáhnout rozvojem znalostně, resp. technologicky vysoce náročn</w:t>
      </w:r>
      <w:r w:rsidRPr="71E36747" w:rsidR="049B06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ého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základní</w:t>
      </w:r>
      <w:r w:rsidRPr="71E36747" w:rsidR="049B06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ho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049B06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zejména 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aplikovan</w:t>
      </w:r>
      <w:r w:rsidRPr="71E36747" w:rsidR="049B06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ého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výzkum</w:t>
      </w:r>
      <w:r w:rsidRPr="71E36747" w:rsidR="049B06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u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generující</w:t>
      </w:r>
      <w:r w:rsidRPr="71E36747" w:rsidR="049B06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ho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poznatky uplatnitelné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inovačních produktech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službách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 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vysoké přidané hodnotě. Mobilizace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vytvoření meziinstitucionálních, mezioborových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mezinárodních týmů, </w:t>
      </w:r>
      <w:r w:rsidRPr="71E36747" w:rsidR="049B06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nyní fungujících mnohdy jen na lokální úrovni,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budou procházet rigorózní evaluací špičkovými světovými vědci, budou mít výrazný mezinárodní charakter, budou zakotveny do evropských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světových výzkumných sítí, budou řízeny mezinárodně kompetitivním modelem</w:t>
      </w:r>
      <w:r w:rsidRPr="71E36747" w:rsidR="5DA1118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řízení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budou </w:t>
      </w:r>
      <w:r w:rsidRPr="71E36747" w:rsidR="0B3794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</w:t>
      </w:r>
      <w:r w:rsidRPr="71E36747" w:rsidR="73C9F05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0B3794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pilotní</w:t>
      </w:r>
      <w:r w:rsidRPr="71E36747" w:rsidR="73C9F05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projektové</w:t>
      </w:r>
      <w:r w:rsidRPr="71E36747" w:rsidR="0B3794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fázi stimulačně 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nadstandardně finančně podpořeny</w:t>
      </w:r>
      <w:r w:rsidRPr="71E36747" w:rsidR="0B3794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tak, aby byly schopny ve zkráceném čase přinášet mateřským institucím sdruženým v konsorciích, státu i veřejnosti dostatečné benefity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mimořádn</w:t>
      </w:r>
      <w:r w:rsidRPr="71E36747" w:rsidR="0B3794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ými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úspěch</w:t>
      </w:r>
      <w:r w:rsidRPr="71E36747" w:rsidR="0B3794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y v oblasti výzkumu a vývoje si následně </w:t>
      </w:r>
      <w:r w:rsidRPr="71E36747" w:rsidR="5DA1118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</w:t>
      </w:r>
      <w:r w:rsidRPr="71E36747" w:rsidR="0B3794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ajistily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perspektiv</w:t>
      </w:r>
      <w:r w:rsidRPr="71E36747" w:rsidR="0B3794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y dostatečného</w:t>
      </w:r>
      <w:r w:rsidRPr="71E36747" w:rsidR="65D438C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pozdějšího institucionálního financování</w:t>
      </w:r>
      <w:r w:rsidRPr="71E36747" w:rsidR="7C63463A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</w:t>
      </w:r>
      <w:r w:rsidRPr="71E36747" w:rsidR="78C6B7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</w:p>
    <w:p w:rsidR="00CE2748" w:rsidP="71E36747" w:rsidRDefault="00CE2748" w14:paraId="3BF6E862" w14:textId="104AEAF2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bookmarkStart w:name="_Hlk66207188" w:id="5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Jednoznačně zde také chyběla a chybí specifická datová základna a vysoce kvalifikovaná autorita, která by se systematicky zabývala sběrem a vyhodnocování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dat o socioekonomických dopadech nemocí obecně, nejen v případě pandemií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 která by byla k dispozici pro rozhodování vládním činitelům i pro informovanost 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odborné i 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široké 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veřejnosti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 Nutnost navázání politického rozhodování na výzkum v 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socio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-ekonomické oblasti, tzv. 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evidence </w:t>
      </w:r>
      <w:proofErr w:type="spellStart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based</w:t>
      </w:r>
      <w:proofErr w:type="spellEnd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</w:t>
      </w:r>
      <w:proofErr w:type="spellStart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policy</w:t>
      </w:r>
      <w:proofErr w:type="spellEnd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koncept, </w:t>
      </w:r>
      <w:proofErr w:type="gramStart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je  v</w:t>
      </w:r>
      <w:proofErr w:type="gramEnd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současnosti již dostatečně podpořena odbornou literaturou</w:t>
      </w:r>
      <w:r w:rsidRPr="71E36747">
        <w:rPr>
          <w:rStyle w:val="Znakapoznpodarou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footnoteReference w:id="24"/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 zakotven v klíčových strategiích rozvoje na národní i globální úrovni.</w:t>
      </w:r>
      <w:r w:rsidRPr="71E36747">
        <w:rPr>
          <w:rStyle w:val="Znakapoznpodarou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footnoteReference w:id="25"/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Adekvátní evidence </w:t>
      </w:r>
      <w:proofErr w:type="spellStart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based</w:t>
      </w:r>
      <w:proofErr w:type="spellEnd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policy</w:t>
      </w:r>
      <w:proofErr w:type="spellEnd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přístup může mít zásadní pozitivní dopady v podobě nabízených řešení pro 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programem podpořené lékařské obory, </w:t>
      </w:r>
      <w:proofErr w:type="spellStart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resp</w:t>
      </w:r>
      <w:proofErr w:type="spellEnd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zdravotní politiku</w:t>
      </w:r>
      <w:r w:rsidRPr="71E36747">
        <w:rPr>
          <w:rStyle w:val="Znakapoznpodarou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footnoteReference w:id="26"/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 může rovněž zásadním způsobem přispět k efektivní implementaci a komunikaci veřejných politik obecně.</w:t>
      </w:r>
      <w:r w:rsidRPr="71E36747">
        <w:rPr>
          <w:rStyle w:val="Znakapoznpodarou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footnoteReference w:id="27"/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Nově vytvořený národní institut </w:t>
      </w:r>
      <w:r w:rsidRPr="71E36747" w:rsidR="5E6BA31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zaměřený na 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socio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-ekonomický výzkum dopadů nemocí </w:t>
      </w:r>
      <w:r w:rsidRPr="71E36747" w:rsidR="5E6BA31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 </w:t>
      </w:r>
      <w:r w:rsidRPr="71E36747" w:rsidR="5E6BA31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  <w:lang w:eastAsia="cs-CZ"/>
        </w:rPr>
        <w:t>souvislostí systémových zdravotních rizik</w:t>
      </w:r>
      <w:r w:rsidRPr="71E36747" w:rsidR="5E6BA31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zabezpečí v ČR dostatečnou znalostní bázi pro učení se z implementovaných veřejných politik a umožní tak při dostatečné spolupráci s vládou ČR předcházet zásadním selháním v oblasti implementace veřejných politik.</w:t>
      </w:r>
      <w:r w:rsidRPr="71E36747">
        <w:rPr>
          <w:rStyle w:val="Znakapoznpodarou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footnoteReference w:id="28"/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Vytvoření </w:t>
      </w:r>
      <w:r w:rsidRPr="71E36747" w:rsidR="5E6BA31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této národní autority 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odpovídá závazku vlády řešit nedostatečnou implementaci evidence </w:t>
      </w:r>
      <w:proofErr w:type="spellStart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based</w:t>
      </w:r>
      <w:proofErr w:type="spellEnd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policy</w:t>
      </w:r>
      <w:proofErr w:type="spellEnd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přístupu do strategického vládnutí a strategického řízení v ČR</w:t>
      </w:r>
      <w:r w:rsidRPr="71E36747">
        <w:rPr>
          <w:rStyle w:val="Znakapoznpodarou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footnoteReference w:id="29"/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 reflektuje závazek vlády usilovat 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 vytvoření dostatečných institucionálních i analytických kapacit pro zajištění koherence politik pro udržitelný rozvoj.</w:t>
      </w:r>
      <w:r w:rsidRPr="71E36747">
        <w:rPr>
          <w:rStyle w:val="Znakapoznpodarou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footnoteReference w:id="30"/>
      </w:r>
      <w:bookmarkEnd w:id="5"/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</w:p>
    <w:p w:rsidRPr="00992741" w:rsidR="004C0E2B" w:rsidP="71E36747" w:rsidRDefault="00842E5D" w14:paraId="5312A769" w14:textId="7E327702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78C6B7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Excelenc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í</w:t>
      </w:r>
      <w:r w:rsidRPr="71E36747" w:rsidR="78C6B7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ve výzkumu může být taktéž podpořen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</w:t>
      </w:r>
      <w:r w:rsidRPr="71E36747" w:rsidR="78C6B7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vyrovn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ávání</w:t>
      </w:r>
      <w:r w:rsidRPr="71E36747" w:rsidR="78C6B7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zastoupení žen a mužů ve výzkumných týmech, neboť se ukazuje, že existuje pozitivní vztah mezi Indexem inovačního potenciálu (ČR je na 16. místě v </w:t>
      </w:r>
      <w:r w:rsidRPr="71E36747" w:rsidR="493177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r</w:t>
      </w:r>
      <w:r w:rsidRPr="71E36747" w:rsidR="78C6B7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ámci EU)</w:t>
      </w:r>
      <w:r w:rsidRPr="71E36747" w:rsidR="15E1F83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</w:t>
      </w:r>
      <w:r w:rsidRPr="71E36747" w:rsidR="78C6B7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Indikátorem excelence a Indexem rovnosti žen a mužů</w:t>
      </w:r>
      <w:r w:rsidRPr="71E36747" w:rsidR="15E1F83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 Samotný tradičně pojatý v</w:t>
      </w:r>
      <w:r w:rsidRPr="71E36747" w:rsidR="15E1F83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ýzkum a následné inovace ne vždy dostatečně zohledňují odlišné vzorce chování různých skupin obyvatelstva často podceňují genderové rozdíly. Právě výzkum socioekonomických dopadů je jednou z cest k nápravě a tím i k možnému dalšímu zhodnocení případného dalšího potenciálu získaných výsledků výzkumu a vývoje.</w:t>
      </w:r>
    </w:p>
    <w:p w:rsidRPr="00F34B12" w:rsidR="0078665F" w:rsidP="71E36747" w:rsidRDefault="00493F79" w14:paraId="769F0A9D" w14:textId="3C51F34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65FC01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 dostupných studií také vyplývá, že</w:t>
      </w:r>
      <w:r w:rsidRPr="71E36747" w:rsidR="325DADE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65FC01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</w:t>
      </w:r>
      <w:r w:rsidRPr="71E36747" w:rsidR="6EBE30F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porovnání se zahraničím je v České republice také dlouhodobě podceňována oblast řízení lidských zdrojů na řadě vysokých škol i ve výzkumných organizacích</w:t>
      </w:r>
      <w:r w:rsidRPr="71E36747" w:rsidR="0078665F">
        <w:rPr>
          <w:rStyle w:val="Znakapoznpodarou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footnoteReference w:id="31"/>
      </w:r>
      <w:r w:rsidRPr="71E36747" w:rsidR="65FC01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</w:t>
      </w:r>
      <w:r w:rsidRPr="71E36747" w:rsidR="6EBE30F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65FC01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U</w:t>
      </w:r>
      <w:r w:rsidRPr="71E36747" w:rsidR="6EBE30F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kazuje </w:t>
      </w:r>
      <w:r w:rsidRPr="71E36747" w:rsidR="65FC01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se </w:t>
      </w:r>
      <w:r w:rsidRPr="71E36747" w:rsidR="6EBE30F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neznalost povinností, práv a procesů v oblasti lidských zdrojů ze strany akademických pracovníků a pracovnic. Zároveň z n</w:t>
      </w:r>
      <w:r w:rsidRPr="71E36747" w:rsidR="65FC01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ich</w:t>
      </w:r>
      <w:r w:rsidRPr="71E36747" w:rsidR="6EBE30F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vyplývá, že obrovská část pravidel je nepsaná nebo nezveřejněná, tudíž nevymahatelná, netransparentní a potenciálně umožňující nerovné zacházení a akademický </w:t>
      </w:r>
      <w:proofErr w:type="spellStart"/>
      <w:r w:rsidRPr="71E36747" w:rsidR="6EBE30F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inbreeding</w:t>
      </w:r>
      <w:proofErr w:type="spellEnd"/>
      <w:r w:rsidRPr="71E36747" w:rsidR="004E3BFD">
        <w:rPr>
          <w:rStyle w:val="Znakapoznpodarou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footnoteReference w:id="32"/>
      </w:r>
      <w:r w:rsidRPr="71E36747" w:rsidR="6EBE30F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</w:t>
      </w:r>
      <w:r w:rsidRPr="71E36747" w:rsidR="53EB76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Napomoci řešit tyto nedostatky může i rozšiřování standardů a kvalitativních změn v řízení lidských zdrojů ve </w:t>
      </w:r>
      <w:proofErr w:type="spellStart"/>
      <w:r w:rsidRPr="71E36747" w:rsidR="53EB76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53EB76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spojených např. </w:t>
      </w:r>
      <w:r w:rsidRPr="71E36747" w:rsidR="65FC01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se získáním a rozšiřováním pr</w:t>
      </w:r>
      <w:r w:rsidRPr="71E36747" w:rsidR="73C9F05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</w:t>
      </w:r>
      <w:r w:rsidRPr="71E36747" w:rsidR="65FC01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ncipů</w:t>
      </w:r>
      <w:r w:rsidRPr="71E36747" w:rsidR="53EB76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HR </w:t>
      </w:r>
      <w:proofErr w:type="spellStart"/>
      <w:r w:rsidRPr="71E36747" w:rsidR="53EB76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Awards</w:t>
      </w:r>
      <w:proofErr w:type="spellEnd"/>
      <w:r w:rsidRPr="71E36747" w:rsidR="53EB76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u mateřské výzkumné organizace vstupující do konsorcia </w:t>
      </w:r>
      <w:r w:rsidRPr="71E36747" w:rsidR="73C9F05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</w:t>
      </w:r>
      <w:r w:rsidRPr="71E36747" w:rsidR="65FC01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73C9F05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nového </w:t>
      </w:r>
      <w:r w:rsidRPr="71E36747" w:rsidR="65FC01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programu</w:t>
      </w:r>
      <w:r w:rsidRPr="71E36747" w:rsidR="73C9F05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implementujícího tuto</w:t>
      </w:r>
      <w:r w:rsidRPr="71E36747" w:rsidR="53EB76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komponent</w:t>
      </w:r>
      <w:r w:rsidRPr="71E36747" w:rsidR="73C9F05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u</w:t>
      </w:r>
      <w:r w:rsidRPr="71E36747" w:rsidR="65FC01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které</w:t>
      </w:r>
      <w:r w:rsidRPr="71E36747" w:rsidR="73C9F05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je jedním ze vstupních bonifikačních požadavků</w:t>
      </w:r>
      <w:r w:rsidRPr="71E36747" w:rsidR="53EB76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</w:t>
      </w:r>
    </w:p>
    <w:p w:rsidRPr="00992741" w:rsidR="00EF15B4" w:rsidP="71E36747" w:rsidRDefault="00EF15B4" w14:paraId="634A5A1A" w14:textId="77777777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</w:pPr>
    </w:p>
    <w:p w:rsidRPr="00992741" w:rsidR="002C20CF" w:rsidP="71E36747" w:rsidRDefault="002C20CF" w14:paraId="75616F84" w14:textId="77777777" w14:noSpellErr="1">
      <w:pPr>
        <w:pStyle w:val="K-Nadpis3"/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</w:pPr>
      <w:r w:rsidRPr="71E36747" w:rsidR="2DB997A7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b) </w:t>
      </w:r>
      <w:r w:rsidRPr="71E36747" w:rsidR="5ED66E3C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Cíle</w:t>
      </w:r>
      <w:r w:rsidRPr="71E36747" w:rsidR="2DB997A7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</w:t>
      </w:r>
    </w:p>
    <w:p w:rsidRPr="00992741" w:rsidR="00A35CE4" w:rsidP="71E36747" w:rsidRDefault="00D727BA" w14:paraId="1B6D5680" w14:textId="708D9E36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05E9043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Cíl 1</w:t>
      </w:r>
      <w:r w:rsidRPr="71E36747" w:rsidR="05E9043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:</w:t>
      </w:r>
      <w:r w:rsidRPr="71E36747" w:rsidR="73C9F05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00EE7FC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Implementace nového </w:t>
      </w:r>
      <w:proofErr w:type="spellStart"/>
      <w:r w:rsidRPr="71E36747" w:rsidR="00EE7FC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</w:t>
      </w:r>
      <w:proofErr w:type="spellEnd"/>
      <w:r w:rsidRPr="71E36747" w:rsidR="00EE7FC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programu</w:t>
      </w:r>
      <w:r w:rsidRPr="71E36747" w:rsidR="5308B5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</w:t>
      </w:r>
    </w:p>
    <w:p w:rsidRPr="00992741" w:rsidR="00A35CE4" w:rsidP="71E36747" w:rsidRDefault="00A35CE4" w14:paraId="037404AA" w14:textId="18840922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5308B5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Cíl v sobě zahrnuje </w:t>
      </w:r>
      <w:r w:rsidRPr="71E36747" w:rsidR="73C9F05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zavedení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systémového nástroje</w:t>
      </w:r>
      <w:r w:rsidRPr="71E36747" w:rsidR="73C9F05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kterým je nový program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podpor</w:t>
      </w:r>
      <w:r w:rsidRPr="71E36747" w:rsidR="73C9F05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y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excelentního </w:t>
      </w:r>
      <w:r w:rsidRPr="71E36747" w:rsidR="46634AA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výzkumu</w:t>
      </w:r>
      <w:r w:rsidRPr="71E36747" w:rsidR="46634AA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prioritních lékařských vědách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souvisejících společenskovědních disciplínách, koncipovan</w:t>
      </w:r>
      <w:r w:rsidRPr="71E36747" w:rsidR="73C9F05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ý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na</w:t>
      </w:r>
      <w:r w:rsidRPr="71E36747" w:rsidR="5DA1118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principech zák. č. 130/2002 Sb.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nařízení Komise č. 651/2014 (GBER)</w:t>
      </w:r>
      <w:r w:rsidRPr="71E36747" w:rsidR="4A62A8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Naplnění cíle zahrnuje naplnění </w:t>
      </w:r>
      <w:r w:rsidRPr="71E36747" w:rsidR="5DA1118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potřebn</w:t>
      </w:r>
      <w:r w:rsidRPr="71E36747" w:rsidR="73C9F05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ých</w:t>
      </w:r>
      <w:r w:rsidRPr="71E36747" w:rsidR="5DA1118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7C63463A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schvalovací</w:t>
      </w:r>
      <w:r w:rsidRPr="71E36747" w:rsidR="73C9F05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ch</w:t>
      </w:r>
      <w:r w:rsidRPr="71E36747" w:rsidR="7C63463A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proces</w:t>
      </w:r>
      <w:r w:rsidRPr="71E36747" w:rsidR="73C9F05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ů</w:t>
      </w:r>
      <w:r w:rsidRPr="71E36747" w:rsidR="7C63463A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ve vnitřním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7C63463A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vnějším připomínkovém řízení, ex-ante hodnocení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7C63463A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projednání na</w:t>
      </w:r>
      <w:r w:rsidRPr="71E36747" w:rsidR="5DA1118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7C63463A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úrovni Rady pro výzkum, vývoj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7C63463A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inovace ČR, </w:t>
      </w:r>
      <w:r w:rsidRPr="71E36747" w:rsidR="46634AA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které probíhají souběžně, </w:t>
      </w:r>
      <w:r w:rsidRPr="71E36747" w:rsidR="5DA1118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zjištění </w:t>
      </w:r>
      <w:r w:rsidRPr="71E36747" w:rsidR="7C63463A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vlastní alokac</w:t>
      </w:r>
      <w:r w:rsidRPr="71E36747" w:rsidR="5DA1118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e</w:t>
      </w:r>
      <w:r w:rsidRPr="71E36747" w:rsidR="7C63463A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prostředků</w:t>
      </w:r>
      <w:r w:rsidRPr="71E36747" w:rsidR="5308B5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 vlastní implementaci programu. Ta spočívá mimo jiné ve </w:t>
      </w:r>
      <w:r w:rsidRPr="71E36747" w:rsidR="4A62A8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zpracování a schválení zadávací dokumentace, vyhlášení veřejné soutěže ve </w:t>
      </w:r>
      <w:proofErr w:type="spellStart"/>
      <w:r w:rsidRPr="71E36747" w:rsidR="4A62A8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4A62A8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pro program </w:t>
      </w:r>
      <w:proofErr w:type="spellStart"/>
      <w:r w:rsidRPr="71E36747" w:rsidR="4A62A8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4A62A8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podle zák. č.</w:t>
      </w:r>
      <w:r w:rsidRPr="71E36747" w:rsidR="46634AA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4A62A8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130/2002 Sb.</w:t>
      </w:r>
      <w:r w:rsidRPr="71E36747" w:rsidR="4A62A8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</w:t>
      </w:r>
      <w:r w:rsidRPr="71E36747" w:rsidR="00EE7FC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 transparentním </w:t>
      </w:r>
      <w:r w:rsidRPr="71E36747" w:rsidR="00EE7FC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výběr</w:t>
      </w:r>
      <w:r w:rsidRPr="71E36747" w:rsidR="00EE7FC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u</w:t>
      </w:r>
      <w:r w:rsidRPr="71E36747" w:rsidR="00EE7FC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projektů</w:t>
      </w:r>
      <w:r w:rsidRPr="71E36747" w:rsidR="00EE7FC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</w:t>
      </w:r>
      <w:r w:rsidRPr="71E36747" w:rsidR="00EE7FC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4A62A8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vyhlášení výsledků veřejné soutěže</w:t>
      </w:r>
      <w:r w:rsidRPr="71E36747" w:rsidR="1954386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</w:t>
      </w:r>
      <w:r w:rsidRPr="71E36747" w:rsidR="1954386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přijetí </w:t>
      </w:r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programových a projektových </w:t>
      </w:r>
      <w:r w:rsidRPr="71E36747" w:rsidR="1954386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závazků </w:t>
      </w:r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 podmínek pro poskytnutí podpory ze strany vítězů soutěže, </w:t>
      </w:r>
      <w:r w:rsidRPr="71E36747" w:rsidR="1954386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zahrnující spolupráci relevantních universit, veřejných výzkumných institucí a dalších veřejných i soukromých subjektů zaji</w:t>
      </w:r>
      <w:r w:rsidRPr="71E36747" w:rsidR="1954386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š</w:t>
      </w:r>
      <w:r w:rsidRPr="71E36747" w:rsidR="1954386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ťujících potřebný transfer znalostí</w:t>
      </w:r>
      <w:r w:rsidRPr="71E36747" w:rsidR="1954386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</w:t>
      </w:r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vlastní výzkumné aktivity v projektu a cíle projektu, pravidelný meziroční monitoring, kontroly čerpání prostředků a evaluace</w:t>
      </w:r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projektových výstupů a výsledků </w:t>
      </w:r>
      <w:proofErr w:type="spellStart"/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 Po podpisu smluv na implementace projektů v programu s</w:t>
      </w:r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příjemci podpory</w:t>
      </w:r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bude zahájena vlastní realizace výzkumných projektových aktivit, ustaveny mezinárodních expertních rady, které budou do</w:t>
      </w:r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zorov</w:t>
      </w:r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at kvalitu a zaměření prováděného výzkumu (International </w:t>
      </w:r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supervisory</w:t>
      </w:r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and </w:t>
      </w:r>
      <w:proofErr w:type="spellStart"/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advisory</w:t>
      </w:r>
      <w:proofErr w:type="spellEnd"/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boards</w:t>
      </w:r>
      <w:proofErr w:type="spellEnd"/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-ISAB) a bude zahájeno i poskytování podpory. </w:t>
      </w:r>
    </w:p>
    <w:p w:rsidRPr="00992741" w:rsidR="00D727BA" w:rsidP="71E36747" w:rsidRDefault="00437689" w14:paraId="34A01F33" w14:textId="0AAD354F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4A62A8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Nový program na podporu excelentního </w:t>
      </w:r>
      <w:proofErr w:type="spellStart"/>
      <w:r w:rsidRPr="71E36747" w:rsidR="4A62A8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</w:t>
      </w:r>
      <w:proofErr w:type="spellEnd"/>
      <w:r w:rsidRPr="71E36747" w:rsidR="4A62A8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 prioritních lékařských vědách a souvisejících společenskovědních disciplínách byl již projednán se všemi </w:t>
      </w:r>
      <w:r w:rsidRPr="71E36747" w:rsidR="4A62A8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stakeholdery</w:t>
      </w:r>
      <w:r w:rsidRPr="71E36747" w:rsidR="4A62A8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 proběhly konzultace se</w:t>
      </w:r>
      <w:r w:rsidRPr="71E36747" w:rsidR="51F08B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4A62A85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zástupci akademické i aplikační sféry, se členy expertních komisí Rady vlády pro výzkum, vývoj a inovace a byla prověřena absorpční kapacita programu. </w:t>
      </w:r>
    </w:p>
    <w:p w:rsidR="00773058" w:rsidP="71E36747" w:rsidRDefault="00773058" w14:paraId="62974BAC" w14:textId="77777777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</w:p>
    <w:p w:rsidRPr="00992741" w:rsidR="00A35CE4" w:rsidP="71E36747" w:rsidRDefault="00D448FD" w14:paraId="23519E6E" w14:textId="0A14B8A7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Cíl 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2: </w:t>
      </w:r>
      <w:r w:rsidRPr="71E36747" w:rsidR="5308B5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Vznik národních vědeckých autorit v oblastí výzkumu infekčních chorob, onkologie,</w:t>
      </w:r>
      <w:r w:rsidRPr="71E36747" w:rsidR="4A02909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308B5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metabolických poruch a kardiovaskulárních onemocnění</w:t>
      </w:r>
      <w:r w:rsidRPr="71E36747" w:rsidR="5EFEBB56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nebo</w:t>
      </w:r>
      <w:r w:rsidRPr="71E36747" w:rsidR="5308B5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EFEBB56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neurověd,</w:t>
      </w:r>
      <w:r w:rsidRPr="71E36747" w:rsidR="5EFEBB56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308B5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 v oblasti výzkumu socioekonomických dopadů nemocí.</w:t>
      </w:r>
    </w:p>
    <w:p w:rsidRPr="00992741" w:rsidR="0046426E" w:rsidP="71E36747" w:rsidRDefault="0046426E" w14:paraId="27AEE6DF" w14:textId="0D703E05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05C759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Na základě výsledků transparentně provedené veřejné soutěže nový program </w:t>
      </w:r>
      <w:proofErr w:type="spellStart"/>
      <w:r w:rsidRPr="71E36747" w:rsidR="05C759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05C759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413719B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podle zák.</w:t>
      </w:r>
      <w:r w:rsidRPr="71E36747" w:rsidR="46634AA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413719B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č.</w:t>
      </w:r>
      <w:r w:rsidRPr="71E36747" w:rsidR="46634AA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413719B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130/2002</w:t>
      </w:r>
      <w:r w:rsidRPr="71E36747" w:rsidR="46634AA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413719B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Sb. </w:t>
      </w:r>
      <w:r w:rsidRPr="71E36747" w:rsidR="05C759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podpoří kvalitní, nejlépe připravené, nejméně 4 konsorciální projekty zahrnující spolupráci relevantních universit, veřejných výzkumných institucí a dalších veřejných i soukromých subjektů zajišťujících </w:t>
      </w:r>
      <w:r w:rsidRPr="71E36747" w:rsidR="46634AA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spolupráci ve </w:t>
      </w:r>
      <w:proofErr w:type="spellStart"/>
      <w:r w:rsidRPr="71E36747" w:rsidR="46634AA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46634AA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 </w:t>
      </w:r>
      <w:r w:rsidRPr="71E36747" w:rsidR="05C759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potřebný transfer znalostí. </w:t>
      </w:r>
    </w:p>
    <w:p w:rsidRPr="00992741" w:rsidR="0046426E" w:rsidP="71E36747" w:rsidRDefault="0046426E" w14:paraId="45FB16D7" w14:textId="0E09B7EE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05C759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Vlastní realizace projektů zahrnuje </w:t>
      </w:r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pravidelný</w:t>
      </w:r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05C759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meziroční monitoring, nezbytné meziroční finanční kontroly a kontroly věcného plnění cílů, </w:t>
      </w:r>
      <w:proofErr w:type="spellStart"/>
      <w:r w:rsidRPr="71E36747" w:rsidR="05C759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mid</w:t>
      </w:r>
      <w:proofErr w:type="spellEnd"/>
      <w:r w:rsidRPr="71E36747" w:rsidR="05C759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-term evaluace</w:t>
      </w:r>
      <w:r w:rsidRPr="71E36747" w:rsidR="733B03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expertní kontrola na místě</w:t>
      </w:r>
      <w:r w:rsidRPr="71E36747" w:rsidR="05C759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 peer </w:t>
      </w:r>
      <w:proofErr w:type="spellStart"/>
      <w:r w:rsidRPr="71E36747" w:rsidR="05C759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review</w:t>
      </w:r>
      <w:proofErr w:type="spellEnd"/>
      <w:r w:rsidRPr="71E36747" w:rsidR="05C759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hodnocení projektů se budou řídit systémově zavedenými a ověřenými procesními postupy podle zák. č. 130/2002 Sb. a související právních předpisů. Podmínkou pro poskytnutí podpory pro jednotlivé roční etapy řešení je vždy úspěšnost a splnění předchozích dílčích etapových cílů každého projektu.</w:t>
      </w:r>
      <w:r w:rsidRPr="71E36747" w:rsidR="203A10A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05C759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To zajistí ekonomicky efektivní využívání centralizovaně vkládaných veřejných prostředků. Jejich garantem bude poskytovatel podpory, MŠMT/MEYS.</w:t>
      </w:r>
    </w:p>
    <w:p w:rsidRPr="00992741" w:rsidR="00D448FD" w:rsidP="71E36747" w:rsidRDefault="00A35CE4" w14:paraId="258A70F3" w14:textId="05C723F0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5308B5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Výsledkem projektů bude zřízení, vybudování a ověření fungování nejméně 4 </w:t>
      </w:r>
      <w:r w:rsidRPr="71E36747" w:rsidR="203A10A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konsorciálních </w:t>
      </w:r>
      <w:r w:rsidRPr="71E36747" w:rsidR="5308B5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národních </w:t>
      </w:r>
      <w:proofErr w:type="spellStart"/>
      <w:r w:rsidRPr="71E36747" w:rsidR="5308B5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203A10A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413719B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platforem</w:t>
      </w:r>
      <w:r w:rsidRPr="71E36747" w:rsidR="203A10A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plně organicky integrovaných v ekosystému existujících mateřských R&amp;D organizací</w:t>
      </w:r>
      <w:r w:rsidRPr="71E36747" w:rsidR="1DF9E9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na úrovni institutů</w:t>
      </w:r>
      <w:r w:rsidRPr="71E36747" w:rsidR="5308B5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působící</w:t>
      </w:r>
      <w:r w:rsidRPr="71E36747" w:rsidR="05C759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c</w:t>
      </w:r>
      <w:r w:rsidRPr="71E36747" w:rsidR="5308B5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h </w:t>
      </w:r>
      <w:r w:rsidRPr="71E36747" w:rsidR="0E0699E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 identifikovaných prioritních oblastech </w:t>
      </w:r>
      <w:proofErr w:type="spellStart"/>
      <w:r w:rsidRPr="71E36747" w:rsidR="0E0699E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</w:t>
      </w:r>
      <w:proofErr w:type="spellEnd"/>
      <w:r w:rsidRPr="71E36747" w:rsidR="413719B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</w:t>
      </w:r>
      <w:r w:rsidRPr="71E36747" w:rsidR="5308B5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203A10A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Klíčovou podmínkou je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7C63463A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jejich </w:t>
      </w:r>
      <w:r w:rsidRPr="71E36747" w:rsidR="203A10A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integrace </w:t>
      </w:r>
      <w:r w:rsidRPr="71E36747" w:rsidR="7C63463A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do </w:t>
      </w:r>
      <w:r w:rsidRPr="71E36747" w:rsidR="203A10A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R&amp;D </w:t>
      </w:r>
      <w:r w:rsidRPr="71E36747" w:rsidR="7C63463A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systému</w:t>
      </w:r>
      <w:r w:rsidRPr="71E36747" w:rsidR="203A10A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 ČR</w:t>
      </w:r>
      <w:r w:rsidRPr="71E36747" w:rsidR="7C63463A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jakožto národních výzkumných autorit </w:t>
      </w:r>
      <w:r w:rsidRPr="71E36747" w:rsidR="7C63463A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 mezinárodním přesahem 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generující</w:t>
      </w:r>
      <w:r w:rsidRPr="71E36747" w:rsidR="4E13A47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ch</w:t>
      </w:r>
      <w:r w:rsidRPr="71E36747" w:rsidR="413719B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relevantní </w:t>
      </w:r>
      <w:r w:rsidRPr="71E36747" w:rsidR="413719B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 mezinárodně konkurenceschopné 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R&amp;D výsledky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strategie v</w:t>
      </w:r>
      <w:r w:rsidRPr="71E36747" w:rsidR="413719B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uvedených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specifických prioritních oblastech</w:t>
      </w:r>
      <w:r w:rsidRPr="71E36747" w:rsidR="0E0699E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0E0699E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</w:t>
      </w:r>
      <w:proofErr w:type="spellEnd"/>
      <w:r w:rsidRPr="71E36747" w:rsidR="413719B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institucionální udržitelnost a finanční stabilita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  <w:r w:rsidRPr="71E36747" w:rsidR="51166FE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 evaluacím bude využito </w:t>
      </w:r>
      <w:r w:rsidRPr="71E36747" w:rsidR="51166FE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statistick</w:t>
      </w:r>
      <w:r w:rsidRPr="71E36747" w:rsidR="51166FE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ých</w:t>
      </w:r>
      <w:r w:rsidRPr="71E36747" w:rsidR="51166FE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</w:t>
      </w:r>
      <w:proofErr w:type="spellStart"/>
      <w:r w:rsidRPr="71E36747" w:rsidR="51166FE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bibliometrick</w:t>
      </w:r>
      <w:r w:rsidRPr="71E36747" w:rsidR="51166FE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ých</w:t>
      </w:r>
      <w:proofErr w:type="spellEnd"/>
      <w:r w:rsidRPr="71E36747" w:rsidR="51166FE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 dalších </w:t>
      </w:r>
      <w:proofErr w:type="spellStart"/>
      <w:r w:rsidRPr="71E36747" w:rsidR="51166FE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scientometrick</w:t>
      </w:r>
      <w:r w:rsidRPr="71E36747" w:rsidR="51166FE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ých</w:t>
      </w:r>
      <w:proofErr w:type="spellEnd"/>
      <w:r w:rsidRPr="71E36747" w:rsidR="51166FE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analýz, peer </w:t>
      </w:r>
      <w:proofErr w:type="spellStart"/>
      <w:r w:rsidRPr="71E36747" w:rsidR="51166FE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review</w:t>
      </w:r>
      <w:proofErr w:type="spellEnd"/>
      <w:r w:rsidRPr="71E36747" w:rsidR="51166FE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 expertní</w:t>
      </w:r>
      <w:r w:rsidRPr="71E36747" w:rsidR="51166FE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ch</w:t>
      </w:r>
      <w:r w:rsidRPr="71E36747" w:rsidR="51166FE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kontrol na místě</w:t>
      </w:r>
      <w:r w:rsidRPr="71E36747" w:rsidR="51166FE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Odborný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realizační dohled, včetně mezinárodních evaluací zajistí </w:t>
      </w:r>
      <w:r w:rsidRPr="71E36747" w:rsidR="51166FE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se zapojením ISAB </w:t>
      </w:r>
      <w:r w:rsidRPr="71E36747" w:rsidR="56812C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MŠMT/MEYS jako poskytovatel podpory.</w:t>
      </w:r>
    </w:p>
    <w:p w:rsidRPr="00992741" w:rsidR="00D448FD" w:rsidP="71E36747" w:rsidRDefault="00D448FD" w14:paraId="4E216EA8" w14:textId="77777777" w14:noSpellErr="1">
      <w:pPr>
        <w:pStyle w:val="K-Nadpis3"/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</w:pPr>
    </w:p>
    <w:p w:rsidRPr="00992741" w:rsidR="007A2737" w:rsidP="71E36747" w:rsidRDefault="007A2737" w14:paraId="6CD31FED" w14:textId="4F2B607D" w14:noSpellErr="1">
      <w:pPr>
        <w:pStyle w:val="K-Nadpis3"/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</w:pPr>
      <w:r w:rsidRPr="71E36747" w:rsidR="3AEB50F1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c) </w:t>
      </w:r>
      <w:r w:rsidRPr="71E36747" w:rsidR="394C3D6D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Národní strategický kontext</w:t>
      </w:r>
    </w:p>
    <w:p w:rsidRPr="00992741" w:rsidR="00B26B47" w:rsidP="71E36747" w:rsidRDefault="00E61F47" w14:paraId="7FE40BD2" w14:textId="587B82CB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Společenský pokrok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eškeré moderní technologie jsou </w:t>
      </w:r>
      <w:r w:rsidRPr="71E36747" w:rsidR="4E13A47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principiálně 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založeny na objevech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vynálezech, které byly výsledkem touhy po poznání mnoha předešlých generací. Ekonomický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společenský dopad drtivé většiny klíčových objevů posledních století nebyl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době jejich zrodu zřejmý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trvalo často několik desetiletí, než vědecké poznatky našly praktické uplatnění. Udržet touhu po poznání, která je důležitým hnacím motorem rozvoje společnosti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v 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budoucnu, je</w:t>
      </w:r>
      <w:r w:rsidRPr="71E36747" w:rsidR="4E13A47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žádoucí investicí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4E13A47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nezbytným 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předpoklad</w:t>
      </w:r>
      <w:r w:rsidRPr="71E36747" w:rsidR="4E13A47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em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pro</w:t>
      </w:r>
      <w:r w:rsidRPr="71E36747" w:rsidR="51F08B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všestrannou prosperitu České republiky.</w:t>
      </w:r>
    </w:p>
    <w:p w:rsidRPr="00992741" w:rsidR="00B26B47" w:rsidP="71E36747" w:rsidRDefault="00B26B47" w14:paraId="6AA6776A" w14:textId="760859D7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Chceme-li být mezinárodně relevantní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rychle zvyšovat produktivitu práce, je nutné zajistit rozvoj všech složek výzkumu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vývoje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ČR – základního výzkumu, aplikovaného výzkumu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vývoje. Je třeba řešit výzvy jako zjednodušení spolupráce soukromého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veřejného sektoru, inovace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podnicích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zaměření výzkumu, vývoje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inovací</w:t>
      </w:r>
      <w:r w:rsidRPr="71E36747" w:rsidR="4E13A47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do prioritních oblastí, zejména těch, 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které byly </w:t>
      </w:r>
      <w:r w:rsidRPr="71E36747" w:rsidR="4E13A47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identifikov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ány</w:t>
      </w:r>
      <w:r w:rsidRPr="71E36747" w:rsidR="4E13A47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 krizových obdobích</w:t>
      </w:r>
      <w:r w:rsidRPr="71E36747" w:rsidR="62317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</w:t>
      </w:r>
    </w:p>
    <w:p w:rsidRPr="00F34B12" w:rsidR="00246021" w:rsidP="71E36747" w:rsidRDefault="00246021" w14:paraId="513BA011" w14:textId="0BBED2A9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567210E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Výzkum a technologický vývoj v progresivních vědních oborech přináší znalostní předpoklady pro</w:t>
      </w:r>
      <w:r w:rsidRPr="71E36747" w:rsidR="51F08B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567210E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posílení ekonomiky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</w:t>
      </w:r>
      <w:r w:rsidRPr="71E36747" w:rsidR="567210E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67210E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mírnění dopadů klimatické změny,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567210E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posilují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567210E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připravenost a odolnost společnosti vůči socioekonomickým krizím, jakou představuje např. ta vyvolaná pandemií nového druhu </w:t>
      </w:r>
      <w:proofErr w:type="spellStart"/>
      <w:r w:rsidRPr="71E36747" w:rsidR="567210E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koronaviru</w:t>
      </w:r>
      <w:proofErr w:type="spellEnd"/>
      <w:r w:rsidRPr="71E36747" w:rsidR="567210E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SARS-CoV-2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567210E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onemocněním Covid-19. Nástrojem pro dosažení přelomových poznatků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 </w:t>
      </w:r>
      <w:r w:rsidRPr="71E36747" w:rsidR="567210E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vysokým potenciálem pro jejich následný transfer do produktů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567210E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služeb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 </w:t>
      </w:r>
      <w:r w:rsidRPr="71E36747" w:rsidR="567210E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vysokou přidanou hodnotou a socioekonomickou relevancí je špičková výzkumná infrastruktura využívaná k realizaci </w:t>
      </w:r>
      <w:r w:rsidRPr="71E36747" w:rsidR="4E13A47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interdisciplinárního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567210E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multi</w:t>
      </w:r>
      <w:r w:rsidRPr="71E36747" w:rsidR="4E13A47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disciplinárního </w:t>
      </w:r>
      <w:r w:rsidRPr="71E36747" w:rsidR="567210E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výzkum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u</w:t>
      </w:r>
      <w:r w:rsidRPr="71E36747" w:rsidR="4E13A47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4E13A47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vývoje</w:t>
      </w:r>
      <w:r w:rsidRPr="71E36747" w:rsidR="567210E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</w:t>
      </w:r>
      <w:r w:rsidRPr="71E36747" w:rsidR="49A6D6E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Neméně důležité je i pokročilé a transparentní řízení lidských zdrojů (zahrnující </w:t>
      </w:r>
      <w:r w:rsidRPr="71E36747" w:rsidR="42ED0E7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též </w:t>
      </w:r>
      <w:r w:rsidRPr="71E36747" w:rsidR="49A6D6E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genderové aspekty).</w:t>
      </w:r>
    </w:p>
    <w:p w:rsidRPr="00992741" w:rsidR="003F3AF2" w:rsidP="71E36747" w:rsidRDefault="000B656E" w14:paraId="04F56EE8" w14:textId="02D92838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140FEC4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Základním strategickým dokumentem </w:t>
      </w:r>
      <w:r w:rsidRPr="71E36747" w:rsidR="55437ED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pro Českou republiku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oblasti </w:t>
      </w:r>
      <w:proofErr w:type="spellStart"/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5437ED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je </w:t>
      </w:r>
      <w:r w:rsidRPr="71E36747" w:rsidR="31D0DD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Národní politika výzkumu, vývoje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31D0DD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inovací 2021+ schválená u</w:t>
      </w:r>
      <w:r w:rsidRPr="71E36747" w:rsidR="140FEC4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snesením vlády</w:t>
      </w:r>
      <w:r w:rsidRPr="71E36747" w:rsidR="31D0DD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ČR č. 759 </w:t>
      </w:r>
      <w:r w:rsidRPr="71E36747" w:rsidR="140FEC4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ze dne 20.</w:t>
      </w:r>
      <w:r w:rsidRPr="71E36747" w:rsidR="31D0DD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140FEC4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července 2020</w:t>
      </w:r>
      <w:r w:rsidRPr="71E36747" w:rsidR="31D0DD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která současně s dalšími politikami, jako je Inovační strategie České republiky 2019–2030</w:t>
      </w:r>
      <w:r w:rsidRPr="71E36747" w:rsidR="3C4A9B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</w:t>
      </w:r>
      <w:r w:rsidRPr="71E36747" w:rsidR="3C4A9B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Strategický rámec rozvoje péče o zdraví v České republice do roku 2030. Zdraví 2030</w:t>
      </w:r>
      <w:r w:rsidRPr="71E36747" w:rsidR="31D0DD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Národní výzkumná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31D0DD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inovační strategie inteligentní specializac</w:t>
      </w:r>
      <w:r w:rsidRPr="71E36747" w:rsidR="5D04B3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e</w:t>
      </w:r>
      <w:r w:rsidRPr="71E36747" w:rsidR="31D0DD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D04B3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schválená vládou</w:t>
      </w:r>
      <w:r w:rsidRPr="71E36747" w:rsidR="5D04B3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D04B3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České republiky </w:t>
      </w:r>
      <w:r w:rsidRPr="71E36747" w:rsidR="5D04B3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lednu 2021</w:t>
      </w:r>
      <w:r w:rsidRPr="71E36747" w:rsidR="51166FE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31D0DD1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její implementační plány nebo</w:t>
      </w:r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Národní ERA </w:t>
      </w:r>
      <w:proofErr w:type="spellStart"/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Road</w:t>
      </w:r>
      <w:proofErr w:type="spellEnd"/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Map ČR</w:t>
      </w:r>
      <w:r w:rsidRPr="71E36747" w:rsidR="00BA5F8E">
        <w:rPr>
          <w:rStyle w:val="Znakapoznpodarou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footnoteReference w:id="33"/>
      </w:r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vytváří rámec pro rozvoj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řízení kapacit </w:t>
      </w:r>
      <w:proofErr w:type="spellStart"/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 ČR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současně vymezuje věcně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procesně implementační </w:t>
      </w:r>
      <w:r w:rsidRPr="71E36747" w:rsidR="140FEC4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nástroj</w:t>
      </w:r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e</w:t>
      </w:r>
      <w:r w:rsidRPr="71E36747" w:rsidR="140FEC4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užívan</w:t>
      </w:r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é</w:t>
      </w:r>
      <w:r w:rsidRPr="71E36747" w:rsidR="140FEC4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140FEC4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České republice </w:t>
      </w:r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 plnění úkolů jejich strategických cílů. Většina z nich je však </w:t>
      </w:r>
      <w:r w:rsidRPr="71E36747" w:rsidR="140FEC4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založena na principu „zdola nahoru“</w:t>
      </w:r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který </w:t>
      </w:r>
      <w:r w:rsidRPr="71E36747" w:rsidR="4E13A47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sám osobě </w:t>
      </w:r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 této době k řízení výzkumu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2949B9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inovací na národní úrovni již nepostačuje.</w:t>
      </w:r>
      <w:r w:rsidRPr="71E36747" w:rsidR="5C78B1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DF9E9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Program podpory </w:t>
      </w:r>
      <w:proofErr w:type="spellStart"/>
      <w:r w:rsidRPr="71E36747" w:rsidR="1DF9E9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1DF9E9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který bude iniciovat vynikající, orientovaný a experimentální výzkum a vývoj v</w:t>
      </w:r>
      <w:r w:rsidRPr="71E36747" w:rsidR="51F08B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pr</w:t>
      </w:r>
      <w:r w:rsidRPr="71E36747" w:rsidR="51F08B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oritních, </w:t>
      </w:r>
      <w:r w:rsidRPr="71E36747" w:rsidR="1DF9E9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relativně úzkých vyprofilovaných oblastech na principu „</w:t>
      </w:r>
      <w:r w:rsidRPr="71E36747" w:rsidR="1DF9E99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olor w:val="auto"/>
          <w:sz w:val="20"/>
          <w:szCs w:val="20"/>
        </w:rPr>
        <w:t>shora dolů“</w:t>
      </w:r>
      <w:r w:rsidRPr="71E36747" w:rsidR="1DF9E9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</w:t>
      </w:r>
      <w:r w:rsidRPr="71E36747" w:rsidR="1DF9E99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olor w:val="auto"/>
          <w:sz w:val="20"/>
          <w:szCs w:val="20"/>
        </w:rPr>
        <w:t xml:space="preserve"> </w:t>
      </w:r>
      <w:r w:rsidRPr="71E36747" w:rsidR="1DF9E9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představuje chybějící systémový nástroj a n</w:t>
      </w:r>
      <w:r w:rsidRPr="71E36747" w:rsidR="5C78B1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ovou kvalitu v řízení </w:t>
      </w:r>
      <w:proofErr w:type="spellStart"/>
      <w:r w:rsidRPr="71E36747" w:rsidR="1DF9E9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1DF9E9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 ČR, která umožní zacílení vědecko-výzkumných kapacit na ty potřeby státu, které se ukázaly jako klíčové.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DF9E99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Díky nastavení cílů programu se tak do systému jako národní autority začlení 4-5 nových interdisciplinárních seskupení, která budou svou výzkumnou orientaci povinně směřovat do předem vymezených oblastí a budou schopny systematicky shromažďovat, analyzovat a poskytovat relevantní informace veřejným službám za jejich řízení a rozhodování.</w:t>
      </w:r>
    </w:p>
    <w:p w:rsidRPr="00992741" w:rsidR="00D92C9C" w:rsidP="71E36747" w:rsidRDefault="00D92C9C" w14:paraId="1DEFD343" w14:textId="5FE89674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Proces přípravy jednotlivých komponent</w:t>
      </w:r>
      <w:r w:rsidRPr="71E36747" w:rsidR="05E9043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jehož výsledkem byla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05E9043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profilace této komponenty 5.1.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05E9043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jejího implementačního nástroje, moder</w:t>
      </w:r>
      <w:r w:rsidRPr="71E36747" w:rsidR="49A6D6E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ovaly</w:t>
      </w:r>
      <w:r w:rsidRPr="71E36747" w:rsidR="05E9043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na národní úrovni </w:t>
      </w: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společně Ministerstvo průmyslu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obchodu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(MPO)</w:t>
      </w: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Ministerstvo školství, mládeže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tělovýchovy (MŠMT/MEYS)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pracovní skupina Rady pro</w:t>
      </w:r>
      <w:r w:rsidRPr="71E36747" w:rsidR="51F08B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výzkum, vývoj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inovace při Úřadu vlády České republiky (dále jen 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RVVI</w:t>
      </w: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), kde jsou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zástupci Mezinárodního poradního výboru </w:t>
      </w:r>
      <w:r w:rsidRPr="71E36747" w:rsidR="39F55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r</w:t>
      </w: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ady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členové Národní ekonomické rady vlády. Souběžně </w:t>
      </w:r>
      <w:r w:rsidRPr="71E36747" w:rsidR="49A6D6E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bylo</w:t>
      </w: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49A6D6E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jednáno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 </w:t>
      </w: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odborníky z výzkumné komunity</w:t>
      </w:r>
      <w:r w:rsidRPr="71E36747" w:rsidR="671E432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671E432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zástupci budoucích uživatelů výstupů této komponenty</w:t>
      </w: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 Na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této platformě probíhá diskuse o profilování Národního plánu obnovy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prioritních tématech za účasti zástupců veřejné správy, ale také vědeckých kapacit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0275ED4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složek podnikatelské sféry. </w:t>
      </w:r>
    </w:p>
    <w:p w:rsidRPr="00F34B12" w:rsidR="00E61F47" w:rsidP="71E36747" w:rsidRDefault="00E61F47" w14:paraId="3ABF7EFE" w14:textId="4B25167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Principy nového programu podpory </w:t>
      </w:r>
      <w:proofErr w:type="spellStart"/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0BAB6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byly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10BAB6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nedávné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době projedná</w:t>
      </w:r>
      <w:r w:rsidRPr="71E36747" w:rsidR="10BAB6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ny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se všemi 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stakeholdery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jak na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úrovni státní správy, 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včetně zástupců Ministerstva zdravotnictví, 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tak profesních kruhů. Další oponentura proběh</w:t>
      </w:r>
      <w:r w:rsidRPr="71E36747" w:rsidR="10BAB6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la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konzultacích se zástupci akademické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aplikační sféry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vysokých škol, v Radě pro výzkum, vývoj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inovace ČR. Současně </w:t>
      </w:r>
      <w:r w:rsidRPr="71E36747" w:rsidR="10BAB6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byla 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prověř</w:t>
      </w:r>
      <w:r w:rsidRPr="71E36747" w:rsidR="10BAB6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ena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dostatečnost absorpční kapacity navrhovaného programu</w:t>
      </w:r>
      <w:r w:rsidRPr="71E36747" w:rsidR="10BAB6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studií Technologického centra AV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10BAB6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ČR.</w:t>
      </w:r>
      <w:r w:rsidRPr="71E36747" w:rsidR="00FE4664">
        <w:rPr>
          <w:rStyle w:val="Znakapoznpodarou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footnoteReference w:id="34"/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</w:p>
    <w:p w:rsidR="007B52A8" w:rsidP="71E36747" w:rsidRDefault="000A30C5" w14:paraId="3EB62746" w14:textId="77777777" w14:noSpellErr="1">
      <w:pPr>
        <w:pStyle w:val="Textkomente"/>
        <w:jc w:val="both"/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</w:pPr>
      <w:r w:rsidRPr="71E36747" w:rsidR="1072F9FF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Tato komponenta </w:t>
      </w: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sleduje i </w:t>
      </w:r>
      <w:r w:rsidRPr="71E36747" w:rsidR="1072F9FF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částečn</w:t>
      </w: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é </w:t>
      </w:r>
      <w:r w:rsidRPr="71E36747" w:rsidR="1072F9FF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napl</w:t>
      </w: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ňování</w:t>
      </w:r>
      <w:r w:rsidRPr="71E36747" w:rsidR="1072F9FF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Doporučení Rady k národnímu programu reforem České republiky na rok 2019 a stanovisko Rady ke konvergenčnímu programu České republiky z roku 2019 ze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 </w:t>
      </w:r>
      <w:r w:rsidRPr="71E36747" w:rsidR="1072F9FF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dne 5. 6. 2019, kde je mimo jiné v bodě 16</w:t>
      </w: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)</w:t>
      </w:r>
      <w:r w:rsidRPr="71E36747" w:rsidR="1072F9FF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říká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, že</w:t>
      </w:r>
      <w:r w:rsidRPr="71E36747" w:rsidR="1072F9FF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„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…</w:t>
      </w:r>
      <w:r w:rsidRPr="71E36747" w:rsidR="1072F9FF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veřejné investice postrádají plně soudržnou strategii, která by posílila slabší výkonnost výzkumu a zlepšila spolupráci mezi soukromým sektorem a akademickou sférou.“ </w:t>
      </w:r>
    </w:p>
    <w:p w:rsidRPr="00992741" w:rsidR="00562EA5" w:rsidP="71E36747" w:rsidRDefault="00562EA5" w14:paraId="08CD09BE" w14:textId="1D759E46" w14:noSpellErr="1">
      <w:pPr>
        <w:pStyle w:val="Textkomente"/>
        <w:jc w:val="both"/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</w:pP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Je zde</w:t>
      </w:r>
      <w:r w:rsidRPr="71E36747" w:rsidR="1072F9FF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také</w:t>
      </w:r>
      <w:r w:rsidRPr="71E36747" w:rsidR="1072F9FF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třeba </w:t>
      </w: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zmínit</w:t>
      </w:r>
      <w:r w:rsidRPr="71E36747" w:rsidR="1072F9FF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i snahu 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přispět touto komponentou k</w:t>
      </w:r>
      <w:r w:rsidRPr="71E36747" w:rsidR="1072F9FF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naplnění </w:t>
      </w: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dvou </w:t>
      </w:r>
      <w:r w:rsidRPr="71E36747" w:rsidR="1072F9FF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Doporučení Rady k</w:t>
      </w:r>
      <w:r w:rsidRPr="71E36747" w:rsidR="51F08B9C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 </w:t>
      </w:r>
      <w:r w:rsidRPr="71E36747" w:rsidR="1072F9FF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národnímu programu reforem České republiky na rok 2020 a stanovisko Rady ke konvergenčnímu programu České republiky z roku 2020 ze dne 20. 5. 2020</w:t>
      </w: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, které identifikují následující výzvy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:</w:t>
      </w:r>
      <w:r w:rsidRPr="71E36747" w:rsidR="1072F9FF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</w:t>
      </w:r>
    </w:p>
    <w:p w:rsidRPr="00992741" w:rsidR="00FE4664" w:rsidP="71E36747" w:rsidRDefault="00FE4664" w14:paraId="4C7CFB2D" w14:textId="5AA9F38C" w14:noSpellErr="1">
      <w:pPr>
        <w:pStyle w:val="Textkomente"/>
        <w:ind w:left="426" w:hanging="426"/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</w:pPr>
      <w:r w:rsidRPr="71E36747" w:rsidR="10BAB60C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17)</w:t>
      </w:r>
      <w:r>
        <w:tab/>
      </w: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“</w:t>
      </w:r>
      <w:r w:rsidRPr="71E36747" w:rsidR="10BAB60C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Ke zmírnění dopadu pandemie COVID-19 bude zapotřebí zlepšit odolnost a krizovou připravenost zdravotnického systému</w:t>
      </w: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.“ </w:t>
      </w:r>
    </w:p>
    <w:p w:rsidRPr="00992741" w:rsidR="00FE4664" w:rsidP="71E36747" w:rsidRDefault="00562EA5" w14:paraId="3B000E76" w14:textId="3C19BAC3">
      <w:pPr>
        <w:pStyle w:val="Textkomente"/>
        <w:numPr>
          <w:ilvl w:val="0"/>
          <w:numId w:val="40"/>
        </w:numPr>
        <w:ind w:left="426" w:hanging="426"/>
        <w:jc w:val="both"/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</w:pP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„</w:t>
      </w:r>
      <w:r w:rsidRPr="71E36747" w:rsidR="10BAB60C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Výrazná roztříštěnost v odvětví výzkumu vede k tomu, že finanční prostředky na výzkum a vývoj jsou příliš rozptýleny. Spolupráci veřejného a soukromého sektoru ztěžuje stávající praxe posuzování profesní dráhy výzkumných pracovníků. Užší spolupráce mezi akademickou obcí a podnikatelskou sférou, zejména prostřednictvím tzv. spin-</w:t>
      </w:r>
      <w:proofErr w:type="spellStart"/>
      <w:r w:rsidRPr="71E36747" w:rsidR="10BAB60C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off</w:t>
      </w:r>
      <w:proofErr w:type="spellEnd"/>
      <w:r w:rsidRPr="71E36747" w:rsidR="10BAB60C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firem, by mohla urychlit přenos technologií a šíření inovací.</w:t>
      </w: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“</w:t>
      </w:r>
    </w:p>
    <w:p w:rsidRPr="00992741" w:rsidR="001E4962" w:rsidP="71E36747" w:rsidRDefault="001E4962" w14:paraId="0D8B1C60" w14:textId="393B0A23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45E4565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 neposlední řadě je </w:t>
      </w:r>
      <w:r w:rsidRPr="71E36747" w:rsidR="05E9043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zde </w:t>
      </w:r>
      <w:r w:rsidRPr="71E36747" w:rsidR="45E4565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třeba </w:t>
      </w: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upozornit</w:t>
      </w:r>
      <w:r w:rsidRPr="71E36747" w:rsidR="45E4565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že tato komponenta 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5.1. </w:t>
      </w:r>
      <w:r w:rsidRPr="71E36747" w:rsidR="45E4565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je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365F516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synergickým</w:t>
      </w:r>
      <w:r w:rsidRPr="71E36747" w:rsidR="45E4565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můstkem pro komponent</w:t>
      </w:r>
      <w:r w:rsidRPr="71E36747" w:rsidR="1FE4A4F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u</w:t>
      </w:r>
      <w:r w:rsidRPr="71E36747" w:rsidR="45E4565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5.2.“ Podpora výzkumu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45E4565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vývoje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45E4565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podnicích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45E4565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zavádění inovací do podnikové praxe”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</w:t>
      </w:r>
      <w:r w:rsidRPr="71E36747" w:rsidR="45E4565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jejíž ambicí je mimo jiné urychlení přenosu technologií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šíření inovací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cílená podpora užší spolupráce mezi akademickou obcí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podnikatelskou sférou „z druhé strany“. Oboustranná podpora spolupráce soukromého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veřejného sektoru komplementárními komponentami 5.1.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5.2, přinese novou kvalitu 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 technologickém pokroku, 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zvýší počet výsledků výzkumu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vývoje určených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přímému uplatnění na trhu, sníží roztříštěnost společných aktivit výzkumu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vývoje akademické obce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podnikatelské sféry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identifikovaných oblastech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cílem urychlení přenosu technologií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zavádění inovací.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Tím dojde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 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odstranění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podstatné 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dílčí překážky bránící rozvoji plně funkčního inovačního ekosystému prostřednictvím nabídky komplexních nástrojů podpory řešících selhání trhu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oblasti výzkumu, vývoje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inovací, 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jak iniciací nových příležitostí pro nabídku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poptávku ve </w:t>
      </w:r>
      <w:proofErr w:type="spellStart"/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tak 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pomoci transferu znalostí z akademické sféry do soukromé.</w:t>
      </w:r>
      <w:r w:rsidRPr="71E36747" w:rsidR="753AE0E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Zřejmá je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přímá provázanost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dal</w:t>
      </w:r>
      <w:r w:rsidRPr="71E36747" w:rsidR="671E432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ší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komponen</w:t>
      </w:r>
      <w:r w:rsidRPr="71E36747" w:rsidR="671E432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t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ou Národního plánu obnovy,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to vytvářením primární vědecké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obecně odborně znalostní 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základny pro komponentu </w:t>
      </w:r>
      <w:r w:rsidRPr="71E36747" w:rsidR="49A6D6E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6.1 a 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6.2 “ Prevence onkologických onemocnění”, která směř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uj</w:t>
      </w:r>
      <w:r w:rsidRPr="71E36747" w:rsidR="49A6D6E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í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pouze do </w:t>
      </w:r>
      <w:r w:rsidRPr="71E36747" w:rsidR="49A6D6E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léčebné 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praxe specifické aplikační sféry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jedné ze 4 </w:t>
      </w: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identifikovaných 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prioritních oblastí podporovaných 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právě </w:t>
      </w:r>
      <w:r w:rsidRPr="71E36747" w:rsidR="23AD102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komponentou 5.1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5F7DB5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která se bez této synergické komponenty neobejde.</w:t>
      </w:r>
      <w:r w:rsidRPr="71E36747" w:rsidR="39F55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 tomto kontextu bude zajištěna i koordinace v implementaci komponent a </w:t>
      </w:r>
      <w:r w:rsidRPr="71E36747" w:rsidR="676DCC9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zajištěn </w:t>
      </w:r>
      <w:r w:rsidRPr="71E36747" w:rsidR="39F55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soulad se strategickým rámcem Zdraví 2030</w:t>
      </w:r>
      <w:r w:rsidRPr="71E36747" w:rsidR="00C2090C">
        <w:rPr>
          <w:rStyle w:val="Znakapoznpodarou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footnoteReference w:id="35"/>
      </w:r>
      <w:r w:rsidRPr="71E36747" w:rsidR="676DCC9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konkrétně s jeho strategickým cílem 3 a specifickým cíle 3</w:t>
      </w:r>
      <w:r w:rsidRPr="71E36747" w:rsidR="39F553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</w:t>
      </w:r>
      <w:r w:rsidRPr="71E36747" w:rsidR="676DCC9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1 „Zapojení vědy a výzkumu dořešení prioritních úkolů zdravotnictví“.</w:t>
      </w:r>
    </w:p>
    <w:p w:rsidRPr="00992741" w:rsidR="00FE4664" w:rsidP="71E36747" w:rsidRDefault="00FE4664" w14:paraId="0CD5C1A5" w14:textId="77777777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</w:p>
    <w:p w:rsidRPr="00992741" w:rsidR="007A2737" w:rsidP="71E36747" w:rsidRDefault="007A2737" w14:paraId="1C015FB3" w14:textId="77777777" w14:noSpellErr="1">
      <w:pPr>
        <w:pStyle w:val="K-Nadpis3"/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</w:pPr>
      <w:r w:rsidRPr="71E36747" w:rsidR="3AEB50F1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d) Předchozí snahy</w:t>
      </w:r>
    </w:p>
    <w:p w:rsidRPr="00992741" w:rsidR="002D6385" w:rsidP="71E36747" w:rsidRDefault="00964516" w14:paraId="7317DCCA" w14:textId="1AB6FA53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461E783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ČR vybudovala za </w:t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investiční </w:t>
      </w:r>
      <w:r w:rsidRPr="71E36747" w:rsidR="461E783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podpory </w:t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ESIF(ERDF) v letech 2007-1</w:t>
      </w:r>
      <w:r w:rsidRPr="71E36747" w:rsidR="3CBD0DE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3/15</w:t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operačním programu „Výzkum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vývoj pro inovace“ (OP </w:t>
      </w:r>
      <w:proofErr w:type="spellStart"/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VaVpI</w:t>
      </w:r>
      <w:proofErr w:type="spellEnd"/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) celkem 48 </w:t>
      </w:r>
      <w:r w:rsidRPr="71E36747" w:rsidR="5546BB6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výzkumných </w:t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center</w:t>
      </w:r>
      <w:r w:rsidRPr="71E36747" w:rsidR="3D835E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  <w:r w:rsidRPr="71E36747" w:rsidR="3D835E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 toho bylo 8 </w:t>
      </w:r>
      <w:r w:rsidRPr="71E36747" w:rsidR="3D835E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e</w:t>
      </w:r>
      <w:r w:rsidRPr="71E36747" w:rsidR="3D835E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vropských center excelence </w:t>
      </w:r>
      <w:r w:rsidRPr="71E36747" w:rsidR="6C3623F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 prioritní ose I </w:t>
      </w:r>
      <w:r w:rsidRPr="71E36747" w:rsidR="3D835E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 40 </w:t>
      </w:r>
      <w:r w:rsidRPr="71E36747" w:rsidR="3D835E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r</w:t>
      </w:r>
      <w:r w:rsidRPr="71E36747" w:rsidR="3D835E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egionálních </w:t>
      </w:r>
      <w:proofErr w:type="spellStart"/>
      <w:r w:rsidRPr="71E36747" w:rsidR="3D835E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</w:t>
      </w:r>
      <w:proofErr w:type="spellEnd"/>
      <w:r w:rsidRPr="71E36747" w:rsidR="3D835E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center</w:t>
      </w:r>
      <w:r w:rsidRPr="71E36747" w:rsidR="6C3623F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 prioritní ose II</w:t>
      </w:r>
      <w:r w:rsidRPr="71E36747" w:rsidR="3D835E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 tohoto 9 regionálních center </w:t>
      </w:r>
      <w:proofErr w:type="spellStart"/>
      <w:r w:rsidRPr="71E36747" w:rsidR="3D835E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</w:t>
      </w:r>
      <w:proofErr w:type="spellEnd"/>
      <w:r w:rsidRPr="71E36747" w:rsidR="3D835E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bylo zaměřeno na aplikovaný zdravotnických výzkum nebo na obory s ním úzce související. </w:t>
      </w:r>
      <w:r w:rsidRPr="71E36747" w:rsidR="3CBD0DE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Prvotní investice se skutečně zúročily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3CBD0DE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úspěšných aplikacích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3CBD0DE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ve významnějším, plně konkurenceschopném technologického pokroku s přímým dopadem do praxe až v navazujícím Národním programu udržitelnosti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3CBD0DE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(NPU I, 2013-2020)</w:t>
      </w:r>
      <w:r w:rsidRPr="71E36747" w:rsidR="53FBAB5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který těchto 9</w:t>
      </w:r>
      <w:r w:rsidRPr="71E36747" w:rsidR="637FD2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projektů podpořil téměř 931 mi</w:t>
      </w:r>
      <w:r w:rsidRPr="71E36747" w:rsidR="7E2AE60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l</w:t>
      </w:r>
      <w:r w:rsidRPr="71E36747" w:rsidR="637FD2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Kč</w:t>
      </w:r>
      <w:r w:rsidRPr="71E36747" w:rsidR="3CBD0DE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</w:p>
    <w:p w:rsidRPr="00992741" w:rsidR="00245A82" w:rsidP="71E36747" w:rsidRDefault="00821D0B" w14:paraId="2E82E4CA" w14:textId="48F12796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6C3623F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 celkového počtu 6 </w:t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velký</w:t>
      </w:r>
      <w:r w:rsidRPr="71E36747" w:rsidR="6C3623F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ch</w:t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projekt</w:t>
      </w:r>
      <w:r w:rsidRPr="71E36747" w:rsidR="6C3623F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ů</w:t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(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 </w:t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investicí nad 50 </w:t>
      </w:r>
      <w:r w:rsidRPr="71E36747" w:rsidR="5D04B30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mil</w:t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€) </w:t>
      </w:r>
      <w:r w:rsidRPr="71E36747" w:rsidR="6C3623F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směřov</w:t>
      </w:r>
      <w:r w:rsidRPr="71E36747" w:rsidR="6C3623F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aly </w:t>
      </w:r>
      <w:r w:rsidRPr="71E36747" w:rsidR="6C3623F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3 z nich do </w:t>
      </w:r>
      <w:r w:rsidRPr="71E36747" w:rsidR="6C3623F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prioritních zdravotnických oborů</w:t>
      </w:r>
      <w:r w:rsidRPr="71E36747" w:rsidR="6C3623F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jednalo se o evropská centra excelence z prioritní osy I</w:t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BIOCEV, CEITEC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ICRC</w:t>
      </w:r>
      <w:r w:rsidRPr="71E36747" w:rsidR="000B4D24">
        <w:rPr>
          <w:rStyle w:val="Znakapoznpodarou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footnoteReference w:id="36"/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 Na mezinárod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</w:t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í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</w:t>
      </w:r>
      <w:r w:rsidRPr="71E36747" w:rsidR="529E7E4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poli se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tato </w:t>
      </w:r>
      <w:r w:rsidRPr="71E36747" w:rsidR="53FBAB5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3 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centra</w:t>
      </w:r>
      <w:r w:rsidRPr="71E36747" w:rsidR="51F08B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dobře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etablovala v následujících v letech 2016</w:t>
      </w:r>
      <w:r w:rsidRPr="71E36747" w:rsidR="51F08B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až 20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20 za významného </w:t>
      </w:r>
      <w:r w:rsidRPr="71E36747" w:rsidR="328D3C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finančního 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přispění </w:t>
      </w:r>
      <w:r w:rsidRPr="71E36747" w:rsidR="328D3C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částkou téměř 2</w:t>
      </w:r>
      <w:r w:rsidRPr="71E36747" w:rsidR="328D3C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328D3C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214</w:t>
      </w:r>
      <w:r w:rsidRPr="71E36747" w:rsidR="328D3C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328D3C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mil</w:t>
      </w:r>
      <w:r w:rsidRPr="71E36747" w:rsidR="328D3C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 </w:t>
      </w:r>
      <w:r w:rsidRPr="71E36747" w:rsidR="328D3C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Kč</w:t>
      </w:r>
      <w:r w:rsidRPr="71E36747" w:rsidR="328D3C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z prostředků </w:t>
      </w:r>
      <w:r w:rsidRPr="71E36747" w:rsidR="57F422A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Národní pro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g</w:t>
      </w:r>
      <w:r w:rsidRPr="71E36747" w:rsidR="57F422A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ramu</w:t>
      </w:r>
      <w:r w:rsidRPr="71E36747" w:rsidR="7AA4364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u</w:t>
      </w:r>
      <w:r w:rsidRPr="71E36747" w:rsidR="57F422A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držitelno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</w:t>
      </w:r>
      <w:r w:rsidRPr="71E36747" w:rsidR="57F422A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ti II</w:t>
      </w:r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</w:t>
      </w:r>
      <w:r w:rsidRPr="71E36747" w:rsidR="57F422A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</w:p>
    <w:p w:rsidRPr="00992741" w:rsidR="00245A82" w:rsidP="71E36747" w:rsidRDefault="00245A82" w14:paraId="6064DCFB" w14:textId="1E7394CB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Dokladem jejich úspěšnosti je množství aplikovaných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publikačních výsledků v Informačním systému výzkumu, vývoje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inovací (IS </w:t>
      </w:r>
      <w:proofErr w:type="spellStart"/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) centrálně spravovaného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na národní úrovni Radou pro výzkum, vývoj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inovace ČR, které k projektům NPU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a 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NPU II náleží, nebo výsledky uváděné v citačních databázích W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eb </w:t>
      </w:r>
      <w:proofErr w:type="spellStart"/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of</w:t>
      </w:r>
      <w:proofErr w:type="spellEnd"/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Science nebo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Scopus</w:t>
      </w:r>
      <w:proofErr w:type="spellEnd"/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jejichž autory jsou členové řešitelských týmů těchto projektů. Nezanedbatelné jsou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výsledky hodnocení Metodikou 17+, schválné vládou ČR v roce 2017, která potvrzuje vysokou produkci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kvalitu výsledků těchto center. Řada těchto center </w:t>
      </w:r>
      <w:r w:rsidRPr="71E36747" w:rsidR="53FBAB5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úspěšně spolupracuje s velkými výzkumnými infrastrukturami zařazenými na cestovní mapu ČR nebo je, jako např. BIOCEV nebo CEITEC přímo provozuje.</w:t>
      </w:r>
      <w:r w:rsidRPr="71E36747" w:rsidR="2BC8D20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53FBAB5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Projektové týmy se aktivně účastní aktivit H2020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53FBAB5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klastrová analýza ukázala</w:t>
      </w:r>
      <w:r w:rsidRPr="71E36747" w:rsidR="637FD2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generování dalších projektů </w:t>
      </w:r>
      <w:proofErr w:type="spellStart"/>
      <w:r w:rsidRPr="71E36747" w:rsidR="637FD2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637FD2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37FD2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značnou </w:t>
      </w:r>
      <w:r w:rsidRPr="71E36747" w:rsidR="53FBAB5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četnost spolupráce v dalších </w:t>
      </w:r>
      <w:r w:rsidRPr="71E36747" w:rsidR="637FD2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programech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53FBAB5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projektech </w:t>
      </w:r>
      <w:r w:rsidRPr="71E36747" w:rsidR="637FD2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aplikovaného výzkumu</w:t>
      </w:r>
      <w:r w:rsidRPr="71E36747" w:rsidR="53FBAB5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</w:t>
      </w:r>
    </w:p>
    <w:p w:rsidRPr="00992741" w:rsidR="00AF4815" w:rsidP="71E36747" w:rsidRDefault="000F0BB0" w14:paraId="5B79BDAD" w14:textId="3E43D640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637FD2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mimo tato centra existují v ČR individualizovaná špičková pracoviště </w:t>
      </w:r>
      <w:r w:rsidRPr="71E36747" w:rsidR="671E432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 mezinárodním věhlasem </w:t>
      </w:r>
      <w:r w:rsidRPr="71E36747" w:rsidR="637FD2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(např. I</w:t>
      </w:r>
      <w:r w:rsidRPr="71E36747" w:rsidR="671E432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nstitut klinické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671E432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experimentální medicíny</w:t>
      </w:r>
      <w:r w:rsidRPr="71E36747" w:rsidR="637FD2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), kde existuje významný potenciál pro kvalitativní změnu </w:t>
      </w:r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prioritních oblastech lékařských věd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souvisejících společenskovědních disciplínách</w:t>
      </w:r>
      <w:r w:rsidRPr="71E36747" w:rsidR="280262A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Jejich úspěšnost </w:t>
      </w:r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vyplývá z </w:t>
      </w:r>
      <w:proofErr w:type="spellStart"/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bibliometrických</w:t>
      </w:r>
      <w:proofErr w:type="spellEnd"/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dat nebo </w:t>
      </w: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analyticky zpracovaných </w:t>
      </w:r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map spolupráce</w:t>
      </w: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výzkumné a aplikační sféry</w:t>
      </w:r>
      <w:r w:rsidRPr="71E36747" w:rsidR="6518916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které</w:t>
      </w:r>
      <w:r w:rsidRPr="71E36747" w:rsidR="7AA2D90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vycházejí</w:t>
      </w:r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 </w:t>
      </w:r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dat IS </w:t>
      </w:r>
      <w:proofErr w:type="spellStart"/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VaVaI</w:t>
      </w:r>
      <w:proofErr w:type="spellEnd"/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Kartogramy Českého statistického úřadu zase prokazují, že v lokalitách, kde tato centra působí jsou v lékařských oborech k dispozici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zahraniční výzkumníci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daří se do těchto oborů získávat </w:t>
      </w:r>
      <w:r w:rsidRPr="71E36747" w:rsidR="280262A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další potřebné </w:t>
      </w:r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finanční prostředky. </w:t>
      </w:r>
    </w:p>
    <w:p w:rsidRPr="00992741" w:rsidR="000C5199" w:rsidP="71E36747" w:rsidRDefault="00BA251E" w14:paraId="677BE5DD" w14:textId="30BD5054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 obojího je ale také zřejmá </w:t>
      </w:r>
      <w:r w:rsidRPr="71E36747" w:rsidR="4CEC6F7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již zmi</w:t>
      </w:r>
      <w:r w:rsidRPr="71E36747" w:rsidR="686A886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ňovaná a </w:t>
      </w:r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stále přetrvávající regionální roztříštěnost</w:t>
      </w:r>
      <w:r w:rsidRPr="71E36747" w:rsidR="6518916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izolovanost v rámci ČR</w:t>
      </w:r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0ABDB92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stále nedostatečná míra spolupráce v identifikovaných prioritních oborech.</w:t>
      </w:r>
      <w:r w:rsidRPr="71E36747" w:rsidR="45EF0C6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Jednou z mála již poměrně komplexně fungujících interdisciplinárních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0B5BFD06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poměrně dobře internacionalizovaných </w:t>
      </w:r>
      <w:r w:rsidRPr="71E36747" w:rsidR="45EF0C6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„vlajkových lodí“ v navazujících oborech, které se staly v jistém slova smyslu „modelem“ </w:t>
      </w:r>
      <w:r w:rsidRPr="71E36747" w:rsidR="686A886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 „dobrou praxí“ pro </w:t>
      </w:r>
      <w:r w:rsidRPr="71E36747" w:rsidR="45EF0C6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cílov</w:t>
      </w:r>
      <w:r w:rsidRPr="71E36747" w:rsidR="686A886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ý</w:t>
      </w:r>
      <w:r w:rsidRPr="71E36747" w:rsidR="45EF0C6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stav </w:t>
      </w:r>
      <w:r w:rsidRPr="71E36747" w:rsidR="686A886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integrace a fungování vzorové národní výzkumné autority a očekávaného výsledku </w:t>
      </w:r>
      <w:r w:rsidRPr="71E36747" w:rsidR="6518916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jediné </w:t>
      </w:r>
      <w:r w:rsidRPr="71E36747" w:rsidR="686A886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investice</w:t>
      </w:r>
      <w:r w:rsidRPr="71E36747" w:rsidR="45EF0C6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</w:t>
      </w:r>
      <w:r w:rsidRPr="71E36747" w:rsidR="6518916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 této </w:t>
      </w:r>
      <w:r w:rsidRPr="71E36747" w:rsidR="45EF0C6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komponentě je Středoevropský technologický institut – CEITEC, působící na</w:t>
      </w:r>
      <w:r w:rsidRPr="71E36747" w:rsidR="51F08B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45EF0C6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Masarykově univerzitě v Jihomoravském kraji</w:t>
      </w:r>
      <w:r w:rsidRPr="71E36747" w:rsidR="00216B98">
        <w:rPr>
          <w:rStyle w:val="Znakapoznpodarou"/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footnoteReference w:id="37"/>
      </w:r>
      <w:r w:rsidRPr="71E36747" w:rsidR="0B5BFD06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</w:p>
    <w:p w:rsidRPr="00992741" w:rsidR="00BA251E" w:rsidP="71E36747" w:rsidRDefault="00BA251E" w14:paraId="637DBC57" w14:textId="40A9546D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</w:pPr>
    </w:p>
    <w:p w:rsidRPr="00992741" w:rsidR="002C20CF" w:rsidP="71E36747" w:rsidRDefault="002C20CF" w14:paraId="5BA8CBEF" w14:textId="60AD100F" w14:noSpellErr="1">
      <w:pPr>
        <w:pStyle w:val="K-Nadpis2"/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</w:pPr>
      <w:r w:rsidRPr="71E36747" w:rsidR="2DB997A7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3. </w:t>
      </w:r>
      <w:r w:rsidRPr="71E36747" w:rsidR="60B7A3E0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Popis </w:t>
      </w:r>
      <w:r w:rsidRPr="71E36747" w:rsidR="1B4DE28B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investice</w:t>
      </w:r>
      <w:r w:rsidRPr="71E36747" w:rsidR="7669B158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</w:t>
      </w:r>
      <w:r w:rsidRPr="71E36747" w:rsidR="60B7A3E0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k</w:t>
      </w:r>
      <w:r w:rsidRPr="71E36747" w:rsidR="2DB997A7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omponent</w:t>
      </w:r>
      <w:r w:rsidRPr="71E36747" w:rsidR="60B7A3E0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y</w:t>
      </w:r>
      <w:r w:rsidRPr="71E36747" w:rsidR="2DB997A7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</w:t>
      </w:r>
    </w:p>
    <w:p w:rsidRPr="00992741" w:rsidR="000C0598" w:rsidP="71E36747" w:rsidRDefault="0015052B" w14:paraId="35BAB89E" w14:textId="7CA200F4" w14:noSpellErr="1">
      <w:pPr>
        <w:pStyle w:val="K-Nadpis3"/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</w:pPr>
      <w:r w:rsidRPr="71E36747" w:rsidR="2726F1CA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a</w:t>
      </w:r>
      <w:r w:rsidRPr="71E36747" w:rsidR="4F7D30C0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) Popis </w:t>
      </w:r>
      <w:r w:rsidRPr="71E36747" w:rsidR="1B4DE28B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investice </w:t>
      </w:r>
    </w:p>
    <w:p w:rsidRPr="00992741" w:rsidR="00301541" w:rsidP="71E36747" w:rsidRDefault="00301541" w14:paraId="2B11F1EF" w14:textId="068A7987">
      <w:pPr>
        <w:pStyle w:val="K-Tabulka"/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  <w:bookmarkStart w:name="_Hlk58913010" w:id="7"/>
      <w:r w:rsidRPr="71E36747" w:rsidR="16C09923"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  <w:t xml:space="preserve">1.1 Systémová podpora </w:t>
      </w:r>
      <w:proofErr w:type="spellStart"/>
      <w:r w:rsidRPr="71E36747" w:rsidR="16C09923"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  <w:t>VaVaI</w:t>
      </w:r>
      <w:proofErr w:type="spellEnd"/>
      <w:r w:rsidRPr="71E36747" w:rsidR="16C09923"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  <w:t xml:space="preserve"> pro prioritní oblasti lékařských věd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  <w:t>a </w:t>
      </w:r>
      <w:r w:rsidRPr="71E36747" w:rsidR="16C09923"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  <w:t>související společenskovědní disciplíny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Pr="00992741" w:rsidR="00852465" w:rsidTr="71E36747" w14:paraId="670B5AC8" w14:textId="77777777">
        <w:tc>
          <w:tcPr>
            <w:tcW w:w="3256" w:type="dxa"/>
            <w:tcMar/>
          </w:tcPr>
          <w:p w:rsidRPr="00992741" w:rsidR="00852465" w:rsidP="71E36747" w:rsidRDefault="7861BE22" w14:paraId="36F28BB9" w14:textId="0D4A873B" w14:noSpellErr="1">
            <w:pPr>
              <w:pStyle w:val="K-Text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71E36747" w:rsidR="2A7A153E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Výzva</w:t>
            </w:r>
          </w:p>
        </w:tc>
        <w:tc>
          <w:tcPr>
            <w:tcW w:w="6372" w:type="dxa"/>
            <w:tcMar/>
          </w:tcPr>
          <w:p w:rsidRPr="00992741" w:rsidR="00F7022D" w:rsidP="71E36747" w:rsidRDefault="4B60E63B" w14:paraId="3324C240" w14:textId="6FB516DF">
            <w:pPr>
              <w:pStyle w:val="K-Tabulka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</w:pPr>
            <w:proofErr w:type="spellStart"/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Koronavirová</w:t>
            </w:r>
            <w:proofErr w:type="spellEnd"/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 krize přinesla z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měnu, která otřásá ekonomikou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v 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celé Evropě, ale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i 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výzvu lépe se připravit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 </w:t>
            </w:r>
            <w:r w:rsidRPr="71E36747" w:rsidR="383605A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lépe 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čelit</w:t>
            </w:r>
            <w:r w:rsidRPr="71E36747" w:rsidR="383605A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 obdobným hrozbám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. Ponaučením z</w:t>
            </w:r>
            <w:r w:rsidRPr="71E36747" w:rsidR="280262A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 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toho je identifikace nových potřeb ve</w:t>
            </w:r>
            <w:r w:rsidRPr="71E36747" w:rsidR="51F08B9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 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specifických oblastech, které, jak se ukázalo, dosud nebyly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v 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národních politikách dostatečně řešeny. Plánované projekty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 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výstupy Národního plánu obnovy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i </w:t>
            </w:r>
            <w:r w:rsidRPr="71E36747" w:rsidR="383605A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této komponenty 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jsou navrženy tak, aby stavěly na změnách s</w:t>
            </w:r>
            <w:r w:rsidRPr="71E36747" w:rsidR="383605A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polečenského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 </w:t>
            </w:r>
            <w:r w:rsidRPr="71E36747" w:rsidR="383605A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so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ciálního prostředí způsobených </w:t>
            </w:r>
            <w:r w:rsidRPr="71E36747" w:rsidR="383605A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krizí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. Konkrétně se jedná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o 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novou potřebu propojit identifikované vědecké oblasti související se zdravotní péčí se společenskovědním výzkumem</w:t>
            </w:r>
            <w:r w:rsidRPr="71E36747" w:rsidR="49A6D6E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 zohledňujícím sociodemografické charakteristiky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, což je pro Českou republiku nová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 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reformní aktivita. Lékařský výzkum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 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oblast zdravotní péče obecně mají logické vazby na vědeckou biotechnologickou výzkumnou základnu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 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posílení jejich systematické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 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cílené spolupráce přinese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v </w:t>
            </w:r>
            <w:r w:rsidRPr="71E36747" w:rsidR="7A83CCE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České republice kvalitativní změny.</w:t>
            </w:r>
          </w:p>
          <w:p w:rsidRPr="00992741" w:rsidR="00F7022D" w:rsidP="71E36747" w:rsidRDefault="00301541" w14:paraId="02DCE8B5" w14:textId="4B7F38AE">
            <w:pPr>
              <w:pStyle w:val="K-Tabulka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71E36747" w:rsidR="16C09923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Nová systémová podpora </w:t>
            </w:r>
            <w:proofErr w:type="spellStart"/>
            <w:r w:rsidRPr="71E36747" w:rsidR="16C09923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VaVaI</w:t>
            </w:r>
            <w:proofErr w:type="spellEnd"/>
            <w:r w:rsidRPr="71E36747" w:rsidR="16C09923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 pro prioritní oblasti lékařských věd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 </w:t>
            </w:r>
            <w:r w:rsidRPr="71E36747" w:rsidR="16C09923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související společenskovědní disciplíny, jejíž dimenze oblasti působnosti sdružuje výzkumné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 </w:t>
            </w:r>
            <w:r w:rsidRPr="71E36747" w:rsidR="16C09923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inovační činnosti ve veřejných výzkumných střediscích, vysokoškolském vzdělávání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 </w:t>
            </w:r>
            <w:r w:rsidRPr="71E36747" w:rsidR="16C09923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odborných střediscích, včetně vytváření sítí (průmyslový výzkum, experimentální vývoj,..), řeší </w:t>
            </w:r>
            <w:r w:rsidRPr="71E36747" w:rsidR="383605A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národní, 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celo</w:t>
            </w:r>
            <w:r w:rsidRPr="71E36747" w:rsidR="16C09923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společenskou 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potřebu fungování národních vědeckých autorit v</w:t>
            </w:r>
            <w:r w:rsidRPr="71E36747" w:rsidR="280262A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 identifikovaných prioritních </w:t>
            </w:r>
            <w:r w:rsidRPr="71E36747" w:rsidR="0E0699E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oblastech </w:t>
            </w:r>
            <w:proofErr w:type="spellStart"/>
            <w:r w:rsidRPr="71E36747" w:rsidR="0E0699E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VaV</w:t>
            </w:r>
            <w:proofErr w:type="spellEnd"/>
            <w:r w:rsidRPr="71E36747" w:rsidR="280262A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, tj. </w:t>
            </w:r>
            <w:r w:rsidRPr="71E36747" w:rsidR="209E42B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zejména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v 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oblasti infekčních chorob, onkologických</w:t>
            </w:r>
            <w:r w:rsidRPr="71E36747" w:rsidR="209E42B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 onemocnění,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 </w:t>
            </w:r>
            <w:r w:rsidRPr="71E36747" w:rsidR="209E42B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metabolických poruch</w:t>
            </w:r>
            <w:r w:rsidRPr="71E36747" w:rsidR="4A02909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, </w:t>
            </w:r>
            <w:proofErr w:type="spellStart"/>
            <w:r w:rsidRPr="71E36747" w:rsidR="4A02909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cerobrovaskulárních</w:t>
            </w:r>
            <w:proofErr w:type="spellEnd"/>
            <w:r w:rsidRPr="71E36747" w:rsidR="209E42B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 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kardiovaskulárních onemocnění</w:t>
            </w:r>
            <w:r w:rsidRPr="71E36747" w:rsidR="240A4A2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 nebo neurověd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,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 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v</w:t>
            </w:r>
            <w:r w:rsidRPr="71E36747" w:rsidR="280262A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 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průřezové oblasti socioekonomických dopadů takovýchto typů nemocí.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</w:p>
          <w:p w:rsidRPr="00992741" w:rsidR="00852465" w:rsidP="71E36747" w:rsidRDefault="004877B1" w14:paraId="11E7072F" w14:textId="6F66B233" w14:noSpellErr="1">
            <w:pPr>
              <w:pStyle w:val="K-Tabulka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</w:pP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Prvotní výzvou je eliminovat přetrvávající roztříštěnost v uvedených prioritních oborech</w:t>
            </w:r>
            <w:r w:rsidRPr="71E36747" w:rsidR="644E00A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, iniciovat spolupráci špiček české vědy působících ve zdravotnických oborech napříč Českou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 </w:t>
            </w:r>
            <w:r w:rsidRPr="71E36747" w:rsidR="644E00A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republikou</w:t>
            </w:r>
            <w:r w:rsidRPr="71E36747" w:rsidR="2D5A28E4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. V</w:t>
            </w:r>
            <w:r w:rsidRPr="71E36747" w:rsidR="644E00A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 konsorciálních uskupení</w:t>
            </w:r>
            <w:r w:rsidRPr="71E36747" w:rsidR="2D5A28E4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ch</w:t>
            </w:r>
            <w:r w:rsidRPr="71E36747" w:rsidR="644E00A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 výzkumných organizací a aplikační sféry </w:t>
            </w:r>
            <w:r w:rsidRPr="71E36747" w:rsidR="2D5A28E4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pak vědcům </w:t>
            </w:r>
            <w:r w:rsidRPr="71E36747" w:rsidR="644E00A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nabídnout </w:t>
            </w:r>
            <w:r w:rsidRPr="71E36747" w:rsidR="2D5A28E4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v nezbytné míře jejich modernizaci, která </w:t>
            </w:r>
            <w:r w:rsidRPr="71E36747" w:rsidR="0B83CD66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nevyhovující 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stávají</w:t>
            </w:r>
            <w:r w:rsidRPr="71E36747" w:rsidR="2D5A28E4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cí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 prostory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 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zařízení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 </w:t>
            </w:r>
            <w:r w:rsidRPr="71E36747" w:rsidR="2D5A28E4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umožní povýšit na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 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moderní vědecká zařízení </w:t>
            </w:r>
            <w:r w:rsidRPr="71E36747" w:rsidR="2D5A28E4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 </w:t>
            </w:r>
            <w:r w:rsidRPr="71E36747" w:rsidR="0B83CD66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kapacity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 evropského standardu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s 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vysoce kvalifikovanou odbornou obsluhou sloužící v ČR jednotné celostátní platformě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 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obecnějšímu využití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i 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v Open Access režimu obdobně, jak je tomu např.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u 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velkých výzkumných infrastruktur, aby došlo k efektivnějšímu využívání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 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zúročení vložených veřejných prostředků,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 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současně získat potřebné interoperabilní, personalizované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a 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uživatelsky vstřícné digitální veřejné služby pro potřeby </w:t>
            </w:r>
            <w:r w:rsidRPr="71E36747" w:rsidR="0B83CD66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výzkumu, 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státní správy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i 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širší odborné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i </w:t>
            </w:r>
            <w:r w:rsidRPr="71E36747" w:rsidR="228BEB3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laické veřejnosti.</w:t>
            </w:r>
            <w:r w:rsidRPr="71E36747" w:rsidR="16C09923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 </w:t>
            </w:r>
          </w:p>
        </w:tc>
      </w:tr>
      <w:tr w:rsidRPr="00992741" w:rsidR="00852465" w:rsidTr="71E36747" w14:paraId="5CA2E1FD" w14:textId="77777777">
        <w:tc>
          <w:tcPr>
            <w:tcW w:w="3256" w:type="dxa"/>
            <w:tcMar/>
          </w:tcPr>
          <w:p w:rsidRPr="00F34B12" w:rsidR="00852465" w:rsidP="71E36747" w:rsidRDefault="7861BE22" w14:paraId="39A69A26" w14:textId="10FDBFDD" w14:noSpellErr="1">
            <w:pPr>
              <w:pStyle w:val="K-Text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71E36747" w:rsidR="2A7A153E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Cíl</w:t>
            </w:r>
          </w:p>
        </w:tc>
        <w:tc>
          <w:tcPr>
            <w:tcW w:w="6372" w:type="dxa"/>
            <w:tcMar/>
          </w:tcPr>
          <w:p w:rsidR="00421294" w:rsidP="71E36747" w:rsidRDefault="47D4EF46" w14:paraId="39E7C1BF" w14:textId="6AAE4679">
            <w:pPr>
              <w:pStyle w:val="K-TextInfo"/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60BFDF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Realizací nového systémového nástroje na principu „shora dolů“</w:t>
            </w:r>
            <w:r w:rsidRPr="71E36747" w:rsidR="00D01FA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, programu podpory </w:t>
            </w:r>
            <w:proofErr w:type="spellStart"/>
            <w:r w:rsidRPr="71E36747" w:rsidR="00D01FA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VaV</w:t>
            </w:r>
            <w:proofErr w:type="spellEnd"/>
            <w:r w:rsidRPr="71E36747" w:rsidR="00D01FA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,</w:t>
            </w:r>
            <w:r w:rsidRPr="71E36747" w:rsidR="60BFDF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71E36747" w:rsidR="00D01FA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bude</w:t>
            </w:r>
            <w:r w:rsidRPr="71E36747" w:rsidR="280262A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71E36747" w:rsidR="60BFDF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zaji</w:t>
            </w:r>
            <w:r w:rsidRPr="71E36747" w:rsidR="00D01FA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štěna</w:t>
            </w:r>
            <w:r w:rsidRPr="71E36747" w:rsidR="60BFDF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efektivní cílen</w:t>
            </w:r>
            <w:r w:rsidRPr="71E36747" w:rsidR="00D01FA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á</w:t>
            </w:r>
            <w:r w:rsidRPr="71E36747" w:rsidR="60BFDF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podpor</w:t>
            </w:r>
            <w:r w:rsidRPr="71E36747" w:rsidR="00D01FA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a</w:t>
            </w:r>
            <w:r w:rsidRPr="71E36747" w:rsidR="60BFDF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několika málo </w:t>
            </w:r>
            <w:r w:rsidRPr="71E36747" w:rsidR="00D01FA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nejlepších a </w:t>
            </w:r>
            <w:r w:rsidRPr="71E36747" w:rsidR="60BFDF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transparentně vybraných projektů 4</w:t>
            </w:r>
            <w:r w:rsidRPr="71E36747" w:rsidR="167065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-5</w:t>
            </w:r>
            <w:r w:rsidRPr="71E36747" w:rsidR="60BFDF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národních výzkumných autorit s mezinárodním přesahem</w:t>
            </w:r>
            <w:r w:rsidRPr="71E36747" w:rsidR="167065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a jejich organické začlenění do systému </w:t>
            </w:r>
            <w:proofErr w:type="spellStart"/>
            <w:r w:rsidRPr="71E36747" w:rsidR="167065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VaVaI</w:t>
            </w:r>
            <w:proofErr w:type="spellEnd"/>
            <w:r w:rsidRPr="71E36747" w:rsidR="167065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v ČR ve státem identifikovaných </w:t>
            </w:r>
            <w:r w:rsidRPr="71E36747" w:rsidR="00D01FA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prioritních </w:t>
            </w:r>
            <w:r w:rsidRPr="71E36747" w:rsidR="167065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oblastech </w:t>
            </w:r>
            <w:proofErr w:type="spellStart"/>
            <w:r w:rsidRPr="71E36747" w:rsidR="0E0699E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VaV</w:t>
            </w:r>
            <w:proofErr w:type="spellEnd"/>
            <w:r w:rsidRPr="71E36747" w:rsidR="00D01FA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. Těmi jsou zejména oblast výzkumu</w:t>
            </w:r>
            <w:r w:rsidRPr="71E36747" w:rsidR="60BFDF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infekční</w:t>
            </w:r>
            <w:r w:rsidRPr="71E36747" w:rsidR="00D01FA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ch</w:t>
            </w:r>
            <w:r w:rsidRPr="71E36747" w:rsidR="60BFDF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chorob, onkologický</w:t>
            </w:r>
            <w:r w:rsidRPr="71E36747" w:rsidR="167065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ch onemocnění</w:t>
            </w:r>
            <w:r w:rsidRPr="71E36747" w:rsidR="60BFDF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Pr="71E36747" w:rsidR="167065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metabolických poruch a </w:t>
            </w:r>
            <w:r w:rsidRPr="71E36747" w:rsidR="60BFDF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kardiovaskulární</w:t>
            </w:r>
            <w:r w:rsidRPr="71E36747" w:rsidR="167065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ch</w:t>
            </w:r>
            <w:r w:rsidRPr="71E36747" w:rsidR="60BFDF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onemocnění </w:t>
            </w:r>
            <w:r w:rsidRPr="71E36747" w:rsidR="5EFEBB56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nebo neurověd,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a</w:t>
            </w:r>
            <w:r w:rsidRPr="71E36747" w:rsidR="167065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oblasti </w:t>
            </w:r>
            <w:r w:rsidRPr="71E36747" w:rsidR="60BFDF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výzkum</w:t>
            </w:r>
            <w:r w:rsidRPr="71E36747" w:rsidR="167065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u</w:t>
            </w:r>
            <w:r w:rsidRPr="71E36747" w:rsidR="60BFDF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socioekonomických dopadů nemocí</w:t>
            </w:r>
            <w:r w:rsidRPr="71E36747" w:rsidR="1670653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.</w:t>
            </w:r>
            <w:r w:rsidRPr="71E36747" w:rsidR="1388139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Tento globální cíl se rozpadá do </w:t>
            </w:r>
            <w:r w:rsidRPr="71E36747" w:rsidR="328D3C1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jednoho milníku a </w:t>
            </w:r>
            <w:r w:rsidRPr="71E36747" w:rsidR="1388139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dvou realizačních dílčích cílů zmíněných:</w:t>
            </w:r>
          </w:p>
          <w:p w:rsidR="00A302AB" w:rsidP="71E36747" w:rsidRDefault="00A302AB" w14:paraId="397DE4C7" w14:textId="1AEAC3AA">
            <w:pPr>
              <w:pStyle w:val="K-TextInfo"/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1388139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Milník 1: Nový program podpory </w:t>
            </w:r>
            <w:proofErr w:type="spellStart"/>
            <w:r w:rsidRPr="71E36747" w:rsidR="1388139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VaV</w:t>
            </w:r>
            <w:proofErr w:type="spellEnd"/>
            <w:r w:rsidRPr="71E36747" w:rsidR="1388139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a dosažení konsensu s jeho principy a podmínkami, vyhlášení veřejné soutěže ve </w:t>
            </w:r>
            <w:proofErr w:type="spellStart"/>
            <w:r w:rsidRPr="71E36747" w:rsidR="1388139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VaVaI</w:t>
            </w:r>
            <w:proofErr w:type="spellEnd"/>
            <w:r w:rsidRPr="71E36747" w:rsidR="1388139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pro nový program </w:t>
            </w:r>
            <w:proofErr w:type="spellStart"/>
            <w:r w:rsidRPr="71E36747" w:rsidR="1388139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VaVaI</w:t>
            </w:r>
            <w:proofErr w:type="spellEnd"/>
            <w:r w:rsidRPr="71E36747" w:rsidR="3909017B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(2021/Q4</w:t>
            </w:r>
            <w:r w:rsidRPr="71E36747" w:rsidR="421AC8C9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71E36747" w:rsidR="101A9EB8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–</w:t>
            </w:r>
            <w:r w:rsidRPr="71E36747" w:rsidR="421AC8C9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71E36747" w:rsidR="101A9EB8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přijetí nového programu vládou ČR</w:t>
            </w:r>
            <w:r w:rsidRPr="71E36747" w:rsidR="3909017B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)</w:t>
            </w:r>
          </w:p>
          <w:p w:rsidR="0035523A" w:rsidP="71E36747" w:rsidRDefault="0035523A" w14:paraId="5D0D5BA5" w14:textId="49CEDA78">
            <w:pPr>
              <w:pStyle w:val="K-TextInfo"/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328D3C1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Cíl 1</w:t>
            </w:r>
            <w:r w:rsidRPr="71E36747" w:rsidR="328D3C1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: </w:t>
            </w:r>
            <w:r w:rsidRPr="71E36747" w:rsidR="328D3C1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Implementace nového </w:t>
            </w:r>
            <w:proofErr w:type="spellStart"/>
            <w:r w:rsidRPr="71E36747" w:rsidR="328D3C1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VaV</w:t>
            </w:r>
            <w:proofErr w:type="spellEnd"/>
            <w:r w:rsidRPr="71E36747" w:rsidR="328D3C1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programu</w:t>
            </w:r>
            <w:r w:rsidRPr="71E36747" w:rsidR="3909017B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(2022/O2</w:t>
            </w:r>
            <w:r w:rsidRPr="71E36747" w:rsidR="101A9EB8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- uzavření implementačních smluv na řešení </w:t>
            </w:r>
            <w:proofErr w:type="spellStart"/>
            <w:r w:rsidRPr="71E36747" w:rsidR="101A9EB8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VaV</w:t>
            </w:r>
            <w:proofErr w:type="spellEnd"/>
            <w:r w:rsidRPr="71E36747" w:rsidR="101A9EB8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projektů mezi poskytovatelem a příjemci podpory a zahájení řešení konkrétních projektů</w:t>
            </w:r>
            <w:r w:rsidRPr="71E36747" w:rsidR="3909017B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)</w:t>
            </w:r>
          </w:p>
          <w:p w:rsidRPr="00992741" w:rsidR="00A302AB" w:rsidP="71E36747" w:rsidRDefault="00A302AB" w14:paraId="4774886F" w14:textId="3DAD8B7D" w14:noSpellErr="1">
            <w:pPr>
              <w:pStyle w:val="K-TextInfo"/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1388139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Cíl </w:t>
            </w:r>
            <w:r w:rsidRPr="71E36747" w:rsidR="1388139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2.: Vznik národních vědeckých autorit v oblastí výzkumu infekčních chorob, onkologie,</w:t>
            </w:r>
            <w:r w:rsidRPr="71E36747" w:rsidR="1388139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71E36747" w:rsidR="1388139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metabolických poruch a kardiovaskulárních onemocnění</w:t>
            </w:r>
            <w:r w:rsidRPr="71E36747" w:rsidR="1388139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nebo</w:t>
            </w:r>
            <w:r w:rsidRPr="71E36747" w:rsidR="1388139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71E36747" w:rsidR="1388139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neurověd,</w:t>
            </w:r>
            <w:r w:rsidRPr="71E36747" w:rsidR="1388139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a v oblasti výzkumu socioekonomických dopadů nemocí.</w:t>
            </w:r>
            <w:r w:rsidRPr="71E36747" w:rsidR="3909017B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(2026/Q2</w:t>
            </w:r>
            <w:r w:rsidRPr="71E36747" w:rsidR="101A9EB8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– ověření „funkčnosti“ národních vědeckých autorit v oblastech jejich působnosti</w:t>
            </w:r>
            <w:r w:rsidRPr="71E36747" w:rsidR="3909017B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)</w:t>
            </w:r>
          </w:p>
        </w:tc>
      </w:tr>
      <w:tr w:rsidRPr="00992741" w:rsidR="00852465" w:rsidTr="71E36747" w14:paraId="0E956A8B" w14:textId="77777777">
        <w:tc>
          <w:tcPr>
            <w:tcW w:w="3256" w:type="dxa"/>
            <w:tcMar/>
          </w:tcPr>
          <w:p w:rsidRPr="00F34B12" w:rsidR="00852465" w:rsidP="71E36747" w:rsidRDefault="7861BE22" w14:paraId="6FC494AD" w14:textId="5393D2F8" w14:noSpellErr="1">
            <w:pPr>
              <w:pStyle w:val="K-Text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71E36747" w:rsidR="2A7A153E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Implementace</w:t>
            </w:r>
          </w:p>
        </w:tc>
        <w:tc>
          <w:tcPr>
            <w:tcW w:w="6372" w:type="dxa"/>
            <w:tcMar/>
          </w:tcPr>
          <w:p w:rsidRPr="00992741" w:rsidR="004E506D" w:rsidP="71E36747" w:rsidRDefault="00941192" w14:paraId="351AD3F6" w14:textId="09222BAA">
            <w:pPr>
              <w:pStyle w:val="K-TextInfo"/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Komponenta bude implementována </w:t>
            </w:r>
            <w:r w:rsidRPr="71E36747" w:rsidR="7C63463A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MŠMT</w:t>
            </w:r>
            <w:r w:rsidRPr="71E36747" w:rsidR="7C63463A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/MEYS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, které bude poskytovatelem podpory,</w:t>
            </w:r>
            <w:r w:rsidRPr="71E36747" w:rsidR="7C63463A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a to </w:t>
            </w:r>
            <w:r w:rsidRPr="71E36747" w:rsidR="7C63463A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postupem podle zák. č. 130/2002 Sb.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a </w:t>
            </w:r>
            <w:r w:rsidRPr="71E36747" w:rsidR="3ABD37AB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zejména </w:t>
            </w:r>
            <w:r w:rsidRPr="71E36747" w:rsidR="7C63463A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 návaznosti na</w:t>
            </w:r>
            <w:r w:rsidRPr="71E36747" w:rsidR="280262A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71E36747" w:rsidR="7C63463A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pravidla poskytování podpory </w:t>
            </w:r>
            <w:proofErr w:type="spellStart"/>
            <w:r w:rsidRPr="71E36747" w:rsidR="7C63463A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VaVaI</w:t>
            </w:r>
            <w:proofErr w:type="spellEnd"/>
            <w:r w:rsidRPr="71E36747" w:rsidR="7C63463A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podle nařízení Komise č. 651/2014 (GBER)</w:t>
            </w:r>
            <w:r w:rsidRPr="71E36747" w:rsidR="0914962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.</w:t>
            </w:r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Poskytovatel použije j</w:t>
            </w:r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ako 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implementační </w:t>
            </w:r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nástroj standar</w:t>
            </w:r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dní zákonné schéma - program podpory výzkumu a vývoje podle výše uvedené národní legislativy. Administraci programu zajistí věcně příslušný odbor podpory výzkumu a vývoje 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MŠMT/MEYS</w:t>
            </w:r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  <w:r w:rsidRPr="71E36747" w:rsidR="483E5862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</w:t>
            </w:r>
            <w:r w:rsidRPr="71E36747" w:rsidR="483E5862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ěcné zaměření podpory bude koordinováno společně se zástupci Ministerstva zdravotnictví v návaznosti na komponenty 6.1 a 6.</w:t>
            </w:r>
            <w:r w:rsidRPr="71E36747" w:rsidR="1C4FFD6B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2.</w:t>
            </w:r>
            <w:r w:rsidRPr="71E36747" w:rsidR="483E5862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 xml:space="preserve"> </w:t>
            </w:r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Z hlediska personálního zabezpečení 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poskytovatel vyčlení</w:t>
            </w:r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potřebn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ou</w:t>
            </w:r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část 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pracovní </w:t>
            </w:r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kapacity </w:t>
            </w:r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u dvou stávajících věcně příslušných úředníků a jednoho rozpočtáře, kteří budou schopni zavedeným standardním způsobem a 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zákonnými </w:t>
            </w:r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pos</w:t>
            </w:r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tupy zajistit realizaci programu a jednotlivých projektů v součinnosti s ostatními relevantními útvary 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MŠMT/MEYS</w:t>
            </w:r>
            <w:r w:rsidRPr="71E36747" w:rsidR="483E5862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,</w:t>
            </w:r>
            <w:r w:rsidRPr="71E36747" w:rsidR="1C4FFD6B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71E36747" w:rsidR="483E5862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MZd</w:t>
            </w:r>
            <w:proofErr w:type="spellEnd"/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a MF</w:t>
            </w:r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  <w:r w:rsidRPr="71E36747" w:rsidR="63E884E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Stávající IT</w:t>
            </w:r>
            <w:r w:rsidRPr="71E36747" w:rsidR="581D92FA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C</w:t>
            </w:r>
            <w:r w:rsidRPr="71E36747" w:rsidR="63E884E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zajištění na národní úrovni je postačující.</w:t>
            </w:r>
          </w:p>
          <w:p w:rsidRPr="00992741" w:rsidR="00507E31" w:rsidP="71E36747" w:rsidRDefault="00941192" w14:paraId="491F1C7B" w14:textId="3AD272F0">
            <w:pPr>
              <w:pStyle w:val="paragraph"/>
              <w:spacing w:before="0" w:beforeAutospacing="off" w:after="0" w:afterAutospacing="off"/>
              <w:jc w:val="both"/>
              <w:textAlignment w:val="baseline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en-US"/>
              </w:rPr>
              <w:t xml:space="preserve">Garantem věcné i procesní správnosti </w:t>
            </w:r>
            <w:r w:rsidRPr="71E36747" w:rsidR="63E884E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en-US"/>
              </w:rPr>
              <w:t xml:space="preserve">realizace programu včetně vyhlášení veřejné soutěže ve </w:t>
            </w:r>
            <w:proofErr w:type="spellStart"/>
            <w:r w:rsidRPr="71E36747" w:rsidR="63E884E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en-US"/>
              </w:rPr>
              <w:t>VaVaI</w:t>
            </w:r>
            <w:proofErr w:type="spellEnd"/>
            <w:r w:rsidRPr="71E36747" w:rsidR="63E884E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en-US"/>
              </w:rPr>
              <w:t xml:space="preserve"> </w:t>
            </w:r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en-US"/>
              </w:rPr>
              <w:t xml:space="preserve">je 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en-US"/>
              </w:rPr>
              <w:t xml:space="preserve">dle zákona poskytovatel, tj. 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en-US"/>
              </w:rPr>
              <w:t>MŠMT/MEYS</w:t>
            </w:r>
            <w:r w:rsidRPr="71E36747" w:rsidR="5DFEF531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en-US"/>
              </w:rPr>
              <w:t xml:space="preserve">. </w:t>
            </w:r>
            <w:r w:rsidRPr="71E36747" w:rsidR="63E884E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en-US"/>
              </w:rPr>
              <w:t>Dohled nad nakládáním s veřejnými prostředky státního rozpočtu ČR</w:t>
            </w:r>
            <w:r w:rsidRPr="71E36747" w:rsidR="63E884E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en-US"/>
              </w:rPr>
              <w:t xml:space="preserve"> vykonává standardně MF, finanční úřady a N</w:t>
            </w:r>
            <w:r w:rsidRPr="71E36747" w:rsidR="47DDF8A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en-US"/>
              </w:rPr>
              <w:t>ejvyšší</w:t>
            </w:r>
            <w:r w:rsidRPr="71E36747" w:rsidR="63E884E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en-US"/>
              </w:rPr>
              <w:t xml:space="preserve"> kontrolní úřad. Zákonný dohled nad dodržováním pravidel veřejné podpory na národní úrovni zajišťuje Úřad pro ochranu hospodářské soutěže. </w:t>
            </w:r>
          </w:p>
          <w:p w:rsidRPr="00992741" w:rsidR="00941192" w:rsidP="71E36747" w:rsidRDefault="00941192" w14:paraId="6388B505" w14:textId="614262ED" w14:noSpellErr="1">
            <w:pPr>
              <w:pStyle w:val="paragraph"/>
              <w:spacing w:before="0" w:beforeAutospacing="off" w:after="0" w:afterAutospacing="off"/>
              <w:jc w:val="both"/>
              <w:textAlignment w:val="baseline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</w:p>
        </w:tc>
      </w:tr>
      <w:tr w:rsidRPr="00992741" w:rsidR="00852465" w:rsidTr="71E36747" w14:paraId="2195ABDF" w14:textId="77777777">
        <w:trPr>
          <w:trHeight w:val="70"/>
        </w:trPr>
        <w:tc>
          <w:tcPr>
            <w:tcW w:w="3256" w:type="dxa"/>
            <w:tcMar/>
          </w:tcPr>
          <w:p w:rsidRPr="00992741" w:rsidR="00852465" w:rsidP="71E36747" w:rsidRDefault="34D4C6B7" w14:paraId="1525154A" w14:textId="7824B62D" w14:noSpellErr="1">
            <w:pPr>
              <w:pStyle w:val="K-Text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71E36747" w:rsidR="085A561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Spolupráce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 </w:t>
            </w:r>
            <w:r w:rsidRPr="71E36747" w:rsidR="085A561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z</w:t>
            </w:r>
            <w:r w:rsidRPr="71E36747" w:rsidR="2A7A153E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apojení zúčastněných stran</w:t>
            </w:r>
          </w:p>
        </w:tc>
        <w:tc>
          <w:tcPr>
            <w:tcW w:w="6372" w:type="dxa"/>
            <w:tcMar/>
          </w:tcPr>
          <w:p w:rsidR="00852465" w:rsidP="71E36747" w:rsidRDefault="000F0BB0" w14:paraId="7E5D717D" w14:textId="77777777" w14:noSpellErr="1">
            <w:pPr>
              <w:pStyle w:val="K-TextInfo"/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 </w:t>
            </w:r>
            <w:r w:rsidRPr="71E36747" w:rsidR="0914962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prioritních oblastech lékařských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a </w:t>
            </w:r>
            <w:r w:rsidRPr="71E36747" w:rsidR="0914962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souvisejících společenských vědách</w:t>
            </w:r>
            <w:r w:rsidRPr="71E36747" w:rsidR="62317338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etablované vysoké školy</w:t>
            </w:r>
            <w:r w:rsidRPr="71E36747" w:rsidR="0914962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, Akademie věd ČR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a </w:t>
            </w:r>
            <w:r w:rsidRPr="71E36747" w:rsidR="0914962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její specializované ústavy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,</w:t>
            </w:r>
            <w:r w:rsidRPr="71E36747" w:rsidR="0914962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veřejné 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nebo soukromoprávní </w:t>
            </w:r>
            <w:r w:rsidRPr="71E36747" w:rsidR="0914962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výzkumné organizace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Pr="71E36747" w:rsidR="62317338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d</w:t>
            </w:r>
            <w:r w:rsidRPr="71E36747" w:rsidR="0914962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o projektů zapojené subjekty aplikační sféry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a </w:t>
            </w:r>
            <w:r w:rsidRPr="71E36747" w:rsidR="0914962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podniky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zabývající se výzkumem a vývoje</w:t>
            </w:r>
            <w:r w:rsidRPr="71E36747" w:rsidR="0914962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.</w:t>
            </w:r>
          </w:p>
          <w:p w:rsidRPr="00762D8B" w:rsidR="00762D8B" w:rsidP="71E36747" w:rsidRDefault="00762D8B" w14:paraId="4AAE739A" w14:textId="229DA4A7" w14:noSpellErr="1">
            <w:pPr>
              <w:pStyle w:val="K-TextInfo"/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1C4FFD6B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V implementační a kontrolní oblasti spolupráce </w:t>
            </w:r>
            <w:r w:rsidRPr="71E36747" w:rsidR="1C4FFD6B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relevantních útvarů</w:t>
            </w:r>
            <w:r w:rsidRPr="71E36747" w:rsidR="1C4FFD6B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MŠMT</w:t>
            </w:r>
            <w:r w:rsidRPr="71E36747" w:rsidR="1C4FFD6B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/MEYES</w:t>
            </w:r>
            <w:r w:rsidRPr="71E36747" w:rsidR="1C4FFD6B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, M</w:t>
            </w:r>
            <w:r w:rsidRPr="71E36747" w:rsidR="1C4FFD6B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inisterstva financí, Ministerstva zdravotnictví a Ministerstva průmyslu a obchodu jako gestora N</w:t>
            </w:r>
            <w:r w:rsidRPr="71E36747" w:rsidR="328D3C17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á</w:t>
            </w:r>
            <w:r w:rsidRPr="71E36747" w:rsidR="1C4FFD6B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rodního plánu obnovy.</w:t>
            </w:r>
          </w:p>
        </w:tc>
      </w:tr>
      <w:tr w:rsidRPr="00992741" w:rsidR="00852465" w:rsidTr="71E36747" w14:paraId="58888365" w14:textId="77777777">
        <w:tc>
          <w:tcPr>
            <w:tcW w:w="3256" w:type="dxa"/>
            <w:tcMar/>
          </w:tcPr>
          <w:p w:rsidRPr="00992741" w:rsidR="00852465" w:rsidP="71E36747" w:rsidRDefault="7861BE22" w14:paraId="05EF4416" w14:textId="5375D153" w14:noSpellErr="1">
            <w:pPr>
              <w:pStyle w:val="K-Text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71E36747" w:rsidR="2A7A153E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Překážky</w:t>
            </w:r>
            <w:r w:rsidRPr="71E36747" w:rsidR="085A561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 </w:t>
            </w:r>
            <w:r w:rsidRPr="71E36747" w:rsidR="085A561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rizika</w:t>
            </w:r>
          </w:p>
        </w:tc>
        <w:tc>
          <w:tcPr>
            <w:tcW w:w="6372" w:type="dxa"/>
            <w:tcMar/>
          </w:tcPr>
          <w:p w:rsidRPr="00992741" w:rsidR="00613B65" w:rsidP="71E36747" w:rsidRDefault="00BA251E" w14:paraId="36320EC0" w14:textId="14A8E168" w14:noSpellErr="1">
            <w:pPr>
              <w:pStyle w:val="K-TextInfo"/>
              <w:numPr>
                <w:ilvl w:val="0"/>
                <w:numId w:val="31"/>
              </w:numPr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</w:pPr>
            <w:r w:rsidRPr="71E36747" w:rsidR="0ABDB92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Včasné nedosažení všeobecného konsensu s nastavenými podmínkami nového programu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 </w:t>
            </w:r>
            <w:r w:rsidRPr="71E36747" w:rsidR="0ABDB92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akademické sféře.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>(Řešeno předběžnými formálními i neformálními projednáváními na všech úrovních.)</w:t>
            </w:r>
          </w:p>
          <w:p w:rsidRPr="00992741" w:rsidR="00802D45" w:rsidP="71E36747" w:rsidRDefault="00BA251E" w14:paraId="6AFC2951" w14:textId="1FB15AEE">
            <w:pPr>
              <w:pStyle w:val="K-TextInfo"/>
              <w:numPr>
                <w:ilvl w:val="0"/>
                <w:numId w:val="31"/>
              </w:numPr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</w:pPr>
            <w:r w:rsidRPr="71E36747" w:rsidR="0ABDB92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Nedostatečná absorpční kapacita </w:t>
            </w:r>
            <w:r w:rsidRPr="71E36747" w:rsidR="280262A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na straně </w:t>
            </w:r>
            <w:r w:rsidRPr="71E36747" w:rsidR="280262A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stakeholderů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>(Byl proveden průzkum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 xml:space="preserve"> absorpční kapacity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 xml:space="preserve"> a zjištěn zájem převyšující 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 xml:space="preserve">očekávání i 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>finanční možnosti kompone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>n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>ty.)</w:t>
            </w:r>
          </w:p>
          <w:p w:rsidRPr="00F34B12" w:rsidR="00BA251E" w:rsidP="71E36747" w:rsidRDefault="00802D45" w14:paraId="05682A33" w14:textId="028DC86B">
            <w:pPr>
              <w:pStyle w:val="K-TextInfo"/>
              <w:numPr>
                <w:ilvl w:val="0"/>
                <w:numId w:val="31"/>
              </w:numPr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280262A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N</w:t>
            </w:r>
            <w:r w:rsidRPr="71E36747" w:rsidR="0ABDB92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ekvalitní </w:t>
            </w:r>
            <w:r w:rsidRPr="71E36747" w:rsidR="280262A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nebo pro veřejnou soutěž nevhodné </w:t>
            </w:r>
            <w:r w:rsidRPr="71E36747" w:rsidR="0ABDB92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návrhy projektů na</w:t>
            </w:r>
            <w:r w:rsidRPr="71E36747" w:rsidR="280262A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71E36747" w:rsidR="0ABDB92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straně </w:t>
            </w:r>
            <w:r w:rsidRPr="71E36747" w:rsidR="0ABDB92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stakeholderů</w:t>
            </w:r>
            <w:r w:rsidRPr="71E36747" w:rsidR="0ABDB92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 xml:space="preserve">(Poskytovatel 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 xml:space="preserve">bude organizovat informační semináře pro uchazeče a 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>má možnost veřejnou soutěž zopakovat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>.)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 xml:space="preserve"> </w:t>
            </w:r>
          </w:p>
          <w:p w:rsidRPr="00992741" w:rsidR="00134982" w:rsidP="71E36747" w:rsidRDefault="00BA251E" w14:paraId="4713AAB4" w14:textId="425D2A24" w14:noSpellErr="1">
            <w:pPr>
              <w:pStyle w:val="K-TextInfo"/>
              <w:numPr>
                <w:ilvl w:val="0"/>
                <w:numId w:val="31"/>
              </w:numPr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</w:pPr>
            <w:r w:rsidRPr="71E36747" w:rsidR="0ABDB92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Nedost</w:t>
            </w:r>
            <w:r w:rsidRPr="71E36747" w:rsidR="7A9BD152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a</w:t>
            </w:r>
            <w:r w:rsidRPr="71E36747" w:rsidR="0ABDB92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t</w:t>
            </w:r>
            <w:r w:rsidRPr="71E36747" w:rsidR="7A9BD152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e</w:t>
            </w:r>
            <w:r w:rsidRPr="71E36747" w:rsidR="0ABDB92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čné finanční prostředky pro realizaci 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všech </w:t>
            </w:r>
            <w:r w:rsidRPr="71E36747" w:rsidR="0ABDB92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kvalitních projektů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v plném rozsahu</w:t>
            </w:r>
            <w:r w:rsidRPr="71E36747" w:rsidR="7A9BD152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.</w:t>
            </w:r>
            <w:r w:rsidRPr="71E36747" w:rsidR="0ABDB92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(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>Poskytovatel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 xml:space="preserve"> se v takovém případě </w:t>
            </w:r>
            <w:r w:rsidRPr="71E36747" w:rsidR="58EC1D22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>vyvine úsilí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 xml:space="preserve"> vyjednat získání dalších </w:t>
            </w:r>
            <w:r w:rsidRPr="71E36747" w:rsidR="58EC1D22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 xml:space="preserve">nezbytných </w:t>
            </w:r>
            <w:r w:rsidRPr="71E36747" w:rsidR="18E3742F"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  <w:t xml:space="preserve">veřejných prostředků z jiných zdrojů nebo pro následující období.) </w:t>
            </w:r>
          </w:p>
        </w:tc>
      </w:tr>
      <w:tr w:rsidRPr="00992741" w:rsidR="00996DF6" w:rsidTr="71E36747" w14:paraId="10F7FBF5" w14:textId="77777777">
        <w:tc>
          <w:tcPr>
            <w:tcW w:w="3256" w:type="dxa"/>
            <w:tcMar/>
          </w:tcPr>
          <w:p w:rsidRPr="00992741" w:rsidR="00996DF6" w:rsidP="71E36747" w:rsidRDefault="5CFAAB51" w14:paraId="4390B09E" w14:textId="067B8E53" w14:noSpellErr="1">
            <w:pPr>
              <w:pStyle w:val="K-Text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71E36747" w:rsidR="72511157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Cílové skupiny populace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 </w:t>
            </w:r>
            <w:r w:rsidRPr="71E36747" w:rsidR="72511157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ekonomické subjekty</w:t>
            </w:r>
          </w:p>
        </w:tc>
        <w:tc>
          <w:tcPr>
            <w:tcW w:w="6372" w:type="dxa"/>
            <w:tcMar/>
          </w:tcPr>
          <w:p w:rsidRPr="00992741" w:rsidR="00313ECE" w:rsidP="71E36747" w:rsidRDefault="00313ECE" w14:paraId="6403EE65" w14:textId="3FFCCE77">
            <w:pPr>
              <w:pStyle w:val="K-TextInfo"/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3B3349E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</w:t>
            </w:r>
            <w:r w:rsidRPr="71E36747" w:rsidR="4FF9994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ýzkumní</w:t>
            </w:r>
            <w:r w:rsidRPr="71E36747" w:rsidR="3B3349E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a </w:t>
            </w:r>
            <w:r w:rsidRPr="71E36747" w:rsidR="3B3349E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akademičtí pracovníci</w:t>
            </w:r>
            <w:r w:rsidRPr="71E36747" w:rsidR="7AE57793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z akademické i aplikační sféry</w:t>
            </w:r>
            <w:r w:rsidRPr="71E36747" w:rsidR="3B3349E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;</w:t>
            </w:r>
            <w:r w:rsidRPr="71E36747" w:rsidR="4FF9994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studenti </w:t>
            </w:r>
            <w:r w:rsidRPr="71E36747" w:rsidR="3B3349E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doktorských studijních programů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a </w:t>
            </w:r>
            <w:proofErr w:type="spellStart"/>
            <w:r w:rsidRPr="71E36747" w:rsidR="3B3349E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postdoktorandi</w:t>
            </w:r>
            <w:proofErr w:type="spellEnd"/>
            <w:r w:rsidRPr="71E36747" w:rsidR="3B3349E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71E36747" w:rsidR="4FF9994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vysokých škol</w:t>
            </w:r>
            <w:r w:rsidRPr="71E36747" w:rsidR="3B3349E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, studující primárně </w:t>
            </w:r>
            <w:r w:rsidRPr="71E36747" w:rsidR="4FF9994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prioritní vědní obor</w:t>
            </w:r>
            <w:r w:rsidRPr="71E36747" w:rsidR="3B3349E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y, odborná veřejnost</w:t>
            </w:r>
          </w:p>
          <w:p w:rsidRPr="00F34B12" w:rsidR="00BB3BF4" w:rsidP="71E36747" w:rsidRDefault="00313ECE" w14:paraId="20D470CC" w14:textId="71FA230A" w14:noSpellErr="1">
            <w:pPr>
              <w:pStyle w:val="K-TextInfo"/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3B3349E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Výzkumné organizace, včetně vysokých škol, zejména veřejného, ale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i </w:t>
            </w:r>
            <w:r w:rsidRPr="71E36747" w:rsidR="58EC1D22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soukromoprávního</w:t>
            </w:r>
            <w:r w:rsidRPr="71E36747" w:rsidR="3B3349E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sektoru, napojené spolupracující podniky</w:t>
            </w:r>
            <w:r w:rsidRPr="71E36747" w:rsidR="383605A8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71E36747" w:rsidR="58EC1D22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zabývající se výzkumem</w:t>
            </w:r>
          </w:p>
        </w:tc>
      </w:tr>
      <w:tr w:rsidRPr="00992741" w:rsidR="00996DF6" w:rsidTr="71E36747" w14:paraId="7A9BAC13" w14:textId="77777777">
        <w:tc>
          <w:tcPr>
            <w:tcW w:w="3256" w:type="dxa"/>
            <w:tcMar/>
          </w:tcPr>
          <w:p w:rsidRPr="00992741" w:rsidR="00996DF6" w:rsidP="71E36747" w:rsidRDefault="00996DF6" w14:paraId="7C2A959D" w14:textId="2F562376" w14:noSpellErr="1">
            <w:pPr>
              <w:pStyle w:val="K-Text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71E36747" w:rsidR="02939F48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Souhrnné náklady realizace financova</w:t>
            </w:r>
            <w:r w:rsidRPr="71E36747" w:rsidR="02939F48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né z RRF za celé období</w:t>
            </w:r>
          </w:p>
        </w:tc>
        <w:tc>
          <w:tcPr>
            <w:tcW w:w="6372" w:type="dxa"/>
            <w:tcMar/>
          </w:tcPr>
          <w:p w:rsidRPr="00992741" w:rsidR="00B26B47" w:rsidP="71E36747" w:rsidRDefault="00F64CD0" w14:paraId="173AE00C" w14:textId="753D1B05" w14:noSpellErr="1">
            <w:pPr>
              <w:pStyle w:val="K-TextInf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auto"/>
                <w:sz w:val="20"/>
                <w:szCs w:val="20"/>
              </w:rPr>
            </w:pPr>
            <w:r w:rsidRPr="71E36747" w:rsidR="48C0EDFB">
              <w:rPr>
                <w:rStyle w:val="K-TextInfoChar"/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auto"/>
                <w:sz w:val="20"/>
                <w:szCs w:val="20"/>
              </w:rPr>
              <w:t>5 000 000 000 CZK</w:t>
            </w:r>
          </w:p>
          <w:p w:rsidRPr="00992741" w:rsidR="00B26B47" w:rsidP="71E36747" w:rsidRDefault="00B26B47" w14:paraId="08BAA013" w14:textId="28F9EE62" w14:noSpellErr="1">
            <w:pPr>
              <w:pStyle w:val="K-TextInfo"/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</w:pPr>
          </w:p>
        </w:tc>
      </w:tr>
      <w:tr w:rsidRPr="00992741" w:rsidR="00852465" w:rsidTr="71E36747" w14:paraId="781CAD7E" w14:textId="77777777">
        <w:tc>
          <w:tcPr>
            <w:tcW w:w="3256" w:type="dxa"/>
            <w:tcMar/>
          </w:tcPr>
          <w:p w:rsidRPr="00992741" w:rsidR="00852465" w:rsidP="71E36747" w:rsidRDefault="7861BE22" w14:paraId="0825A8E4" w14:textId="4B619239" w14:noSpellErr="1">
            <w:pPr>
              <w:pStyle w:val="K-Text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71E36747" w:rsidR="2A7A153E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Dodržování pravidel státní podpory</w:t>
            </w:r>
          </w:p>
        </w:tc>
        <w:tc>
          <w:tcPr>
            <w:tcW w:w="6372" w:type="dxa"/>
            <w:tcMar/>
          </w:tcPr>
          <w:p w:rsidRPr="00992741" w:rsidR="00852465" w:rsidP="71E36747" w:rsidRDefault="65945F63" w14:paraId="053AD755" w14:textId="3A80BDF0">
            <w:pPr>
              <w:pStyle w:val="K-TextInfo"/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0914962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Podpora bude poskytována subjektům působícím na trhu podle nařízení Komise č. 651/2014 (GBER). Zapojeným výzkumným organizacím, které mohou své projektové činnost vykonávat pouze jako </w:t>
            </w:r>
            <w:proofErr w:type="spellStart"/>
            <w:r w:rsidRPr="71E36747" w:rsidR="0914962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nehospodářské</w:t>
            </w:r>
            <w:proofErr w:type="spellEnd"/>
            <w:r w:rsidRPr="71E36747" w:rsidR="0914962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, bude možné podporu poskytovat v souladu se Sdělením Rámec pro státní podporu výzkumu, vývoje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a </w:t>
            </w:r>
            <w:r w:rsidRPr="71E36747" w:rsidR="0914962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inovací (2014/C 198/01) </w:t>
            </w:r>
          </w:p>
          <w:p w:rsidRPr="00992741" w:rsidR="00134982" w:rsidP="71E36747" w:rsidRDefault="5FB1B847" w14:paraId="27CCD539" w14:textId="4861D29F" w14:noSpellErr="1">
            <w:pPr>
              <w:pStyle w:val="K-TextInfo"/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</w:pPr>
            <w:r w:rsidRPr="71E36747" w:rsidR="4F7EC3A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M</w:t>
            </w:r>
            <w:r w:rsidRPr="71E36747" w:rsidR="01D1629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ŠMT</w:t>
            </w:r>
            <w:r w:rsidRPr="71E36747" w:rsidR="4F7EC3A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je jako poskytovateli podpory uložena zákonná povinnost kontrolovat dodržování pravidel veřejné podpory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u </w:t>
            </w:r>
            <w:r w:rsidRPr="71E36747" w:rsidR="4F7EC3A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každého z podpořených projektů, správné vynakládání prostředků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i </w:t>
            </w:r>
            <w:r w:rsidRPr="71E36747" w:rsidR="4F7EC3A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vlastní čerpání podpory.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U </w:t>
            </w:r>
            <w:r w:rsidRPr="71E36747" w:rsidR="4F7EC3A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každého z podpořených projektů si lze vyžádat nezávislý audit. V ČR jsou zajištěny další zákonné kontrolní mechanismy v gesci místně příslušných finančních úřadů nebo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 </w:t>
            </w:r>
            <w:r w:rsidRPr="71E36747" w:rsidR="4F7EC3AC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gesci Nejvyššího kontrolního úřadu</w:t>
            </w:r>
            <w:r w:rsidRPr="71E36747" w:rsidR="4D9153D2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či Úřadu pro ochranu hospodářské soutěže jako národní autority.</w:t>
            </w:r>
          </w:p>
        </w:tc>
      </w:tr>
      <w:tr w:rsidRPr="00992741" w:rsidR="00852465" w:rsidTr="71E36747" w14:paraId="2DC848FC" w14:textId="77777777">
        <w:tc>
          <w:tcPr>
            <w:tcW w:w="3256" w:type="dxa"/>
            <w:tcMar/>
          </w:tcPr>
          <w:p w:rsidRPr="00F34B12" w:rsidR="00852465" w:rsidP="71E36747" w:rsidRDefault="5CFAAB51" w14:paraId="7968264E" w14:textId="1DF85D5F" w14:noSpellErr="1">
            <w:pPr>
              <w:pStyle w:val="K-Text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71E36747" w:rsidR="72511157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Uveďte dobu implementace</w:t>
            </w:r>
          </w:p>
        </w:tc>
        <w:tc>
          <w:tcPr>
            <w:tcW w:w="6372" w:type="dxa"/>
            <w:tcMar/>
          </w:tcPr>
          <w:p w:rsidRPr="00992741" w:rsidR="00B26B47" w:rsidP="71E36747" w:rsidRDefault="00B26B47" w14:paraId="2311342A" w14:textId="19F2685A" w14:noSpellErr="1">
            <w:pPr>
              <w:pStyle w:val="K-TextInfo"/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</w:pPr>
            <w:r w:rsidRPr="71E36747" w:rsidR="62317338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Doba </w:t>
            </w:r>
            <w:r w:rsidRPr="71E36747" w:rsidR="57F422A3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implementace</w:t>
            </w:r>
            <w:r w:rsidRPr="71E36747" w:rsidR="62317338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celé komponenty je plánována na období 2021-202</w:t>
            </w:r>
            <w:r w:rsidRPr="71E36747" w:rsidR="1EAB2E7E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6</w:t>
            </w:r>
            <w:r w:rsidRPr="71E36747" w:rsidR="57F422A3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(celkem </w:t>
            </w:r>
            <w:r w:rsidRPr="71E36747" w:rsidR="0E0699E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60</w:t>
            </w:r>
            <w:r w:rsidRPr="71E36747" w:rsidR="57F422A3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měsíců)</w:t>
            </w:r>
            <w:r w:rsidRPr="71E36747" w:rsidR="62317338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, která však </w:t>
            </w:r>
            <w:r w:rsidRPr="71E36747" w:rsidR="0E0699E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ne</w:t>
            </w:r>
            <w:r w:rsidRPr="71E36747" w:rsidR="62317338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zahrnuje období přípravy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a </w:t>
            </w:r>
            <w:r w:rsidRPr="71E36747" w:rsidR="62317338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schvalovací procesy programu</w:t>
            </w:r>
            <w:r w:rsidRPr="71E36747" w:rsidR="7F9BCDF3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nebo</w:t>
            </w:r>
            <w:r w:rsidRPr="71E36747" w:rsidR="57F422A3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71E36747" w:rsidR="62317338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jeho ex-ante evaluaci, </w:t>
            </w:r>
            <w:r w:rsidRPr="71E36747" w:rsidR="7F9BCDF3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ale jen </w:t>
            </w:r>
            <w:r w:rsidRPr="71E36747" w:rsidR="62317338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vyhlášení </w:t>
            </w:r>
            <w:r w:rsidRPr="71E36747" w:rsidR="11C4B70F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a </w:t>
            </w:r>
            <w:r w:rsidRPr="71E36747" w:rsidR="62317338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vyhodnocení veřejné soutěže, vlastní realizaci jednotlivých projektů</w:t>
            </w:r>
            <w:r w:rsidRPr="71E36747" w:rsidR="7F9BCDF3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a jejich evaluace</w:t>
            </w:r>
            <w:r w:rsidRPr="71E36747" w:rsidR="0E0699E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.</w:t>
            </w:r>
            <w:r w:rsidRPr="71E36747" w:rsidR="57F422A3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  <w:p w:rsidRPr="00992741" w:rsidR="000C5199" w:rsidP="71E36747" w:rsidRDefault="00064320" w14:paraId="2B927CBE" w14:textId="57A624E2" w14:noSpellErr="1">
            <w:pPr>
              <w:pStyle w:val="K-TextInfo"/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0"/>
                <w:szCs w:val="20"/>
              </w:rPr>
            </w:pPr>
            <w:r w:rsidRPr="71E36747" w:rsidR="16E106C2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C</w:t>
            </w:r>
            <w:r w:rsidRPr="71E36747" w:rsidR="54FE3CC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íle celé komponenty </w:t>
            </w:r>
            <w:r w:rsidRPr="71E36747" w:rsidR="34D74A54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bude </w:t>
            </w:r>
            <w:r w:rsidRPr="71E36747" w:rsidR="54FE3CC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>dosaženo v Q2/2026.</w:t>
            </w:r>
            <w:r w:rsidRPr="71E36747" w:rsidR="54FE3CC0">
              <w:rPr>
                <w:rFonts w:ascii="Calibri" w:hAnsi="Calibri" w:eastAsia="Calibri" w:cs="Calibri" w:asciiTheme="minorAscii" w:hAnsiTheme="minorAscii" w:eastAsiaTheme="minorAscii" w:cstheme="minorAsci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</w:tc>
      </w:tr>
      <w:bookmarkEnd w:id="7"/>
    </w:tbl>
    <w:p w:rsidRPr="00F34B12" w:rsidR="007C0788" w:rsidP="71E36747" w:rsidRDefault="007C0788" w14:paraId="2F531071" w14:textId="77777777" w14:noSpellErr="1">
      <w:pPr>
        <w:pStyle w:val="K-Text"/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</w:p>
    <w:p w:rsidRPr="00992741" w:rsidR="002C20CF" w:rsidP="71E36747" w:rsidRDefault="002C20CF" w14:paraId="3B75BCF6" w14:textId="67E01DB4" w14:noSpellErr="1">
      <w:pPr>
        <w:pStyle w:val="K-Nadpis2"/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</w:pPr>
      <w:r w:rsidRPr="71E36747" w:rsidR="2DB997A7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4. </w:t>
      </w:r>
      <w:r w:rsidRPr="71E36747" w:rsidR="76F21FE7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Zelené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a </w:t>
      </w:r>
      <w:r w:rsidRPr="71E36747" w:rsidR="76F21FE7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digitální rozměry k</w:t>
      </w:r>
      <w:r w:rsidRPr="71E36747" w:rsidR="2DB997A7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omponent</w:t>
      </w:r>
      <w:r w:rsidRPr="71E36747" w:rsidR="76F21FE7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>y</w:t>
      </w:r>
      <w:r w:rsidRPr="71E36747" w:rsidR="2DB997A7">
        <w:rPr>
          <w:rFonts w:ascii="Calibri" w:hAnsi="Calibri" w:eastAsia="Calibri" w:cs="Calibri" w:asciiTheme="minorAscii" w:hAnsiTheme="minorAscii" w:eastAsiaTheme="minorAscii" w:cstheme="minorAscii"/>
          <w:color w:val="auto"/>
          <w:sz w:val="20"/>
          <w:szCs w:val="20"/>
        </w:rPr>
        <w:t xml:space="preserve"> </w:t>
      </w:r>
    </w:p>
    <w:p w:rsidR="000A06F5" w:rsidP="71E36747" w:rsidRDefault="00CD6B18" w14:paraId="4F7CB52C" w14:textId="77777777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2FB31AC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Komponenta není primárně zaměřena </w:t>
      </w:r>
      <w:r w:rsidRPr="71E36747" w:rsidR="454E589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na tyto oblasti. </w:t>
      </w:r>
    </w:p>
    <w:p w:rsidR="00190689" w:rsidP="71E36747" w:rsidRDefault="000A06F5" w14:paraId="2E25EB98" w14:textId="0F837794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Cílem investice je tvorba nových výsledků výzkumu v prioritních oblastech </w:t>
      </w:r>
      <w:proofErr w:type="spellStart"/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VaV</w:t>
      </w:r>
      <w:proofErr w:type="spellEnd"/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výše úzce a specificky vymezených v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medicínských oborech</w:t>
      </w:r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 souvisejícím sociálně</w:t>
      </w:r>
      <w:r w:rsidRPr="71E36747" w:rsidR="41BEA7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ekonomickém oboru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</w:p>
    <w:p w:rsidR="00E71593" w:rsidP="71E36747" w:rsidRDefault="00190689" w14:paraId="540B34FB" w14:textId="44F9967E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Podpora projektů výzkumu a vývoje v této investici nemá přímou souvislost s</w:t>
      </w:r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proofErr w:type="spellStart"/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mitigací</w:t>
      </w:r>
      <w:proofErr w:type="spellEnd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 související </w:t>
      </w:r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změn</w:t>
      </w:r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ou</w:t>
      </w:r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klimat</w:t>
      </w:r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u,</w:t>
      </w:r>
      <w:r w:rsidRPr="71E36747" w:rsidR="41BEA7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ani </w:t>
      </w:r>
      <w:r w:rsidRPr="71E36747" w:rsidR="41BEA7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 adaptací na změnu klimatu</w:t>
      </w:r>
      <w:r w:rsidRPr="71E36747" w:rsidR="41BEA7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</w:t>
      </w:r>
      <w:r w:rsidRPr="71E36747" w:rsidR="3C101D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ani </w:t>
      </w:r>
      <w:r w:rsidRPr="71E36747" w:rsidR="41BEA7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 ochranou biologické rozmanitosti a ekosystémů</w:t>
      </w:r>
      <w:r w:rsidRPr="71E36747" w:rsidR="3C101D3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ochranou životního prostředí jako takového, ani s ochranou vod a vodních zdrojů </w:t>
      </w:r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 to i při zohlednění přímých i nepřímých dopadů z pohledu celého životního cyklu komponenty. Investice do fosilních paliv jsou zde vyloučeny. Investice není spojena se zvýšením přímých emisí skleníkových plynů. </w:t>
      </w:r>
      <w:r w:rsidRPr="71E36747" w:rsidR="41BEA7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Individuální projektové investice nesmí bránit adaptaci jinde ani jinde zvyšovat rizika spojená s dopady na změnu klimatu.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Rovněž "DNSH taxonomy </w:t>
      </w:r>
      <w:proofErr w:type="spellStart"/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criteria</w:t>
      </w:r>
      <w:proofErr w:type="spellEnd"/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“ neindikují v rámci "Professional, </w:t>
      </w:r>
      <w:proofErr w:type="spellStart"/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scientific</w:t>
      </w:r>
      <w:proofErr w:type="spellEnd"/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and </w:t>
      </w:r>
      <w:proofErr w:type="spellStart"/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technical</w:t>
      </w:r>
      <w:proofErr w:type="spellEnd"/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activities</w:t>
      </w:r>
      <w:proofErr w:type="spellEnd"/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" relevantní vazbu na </w:t>
      </w:r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tuto </w:t>
      </w:r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oblast</w:t>
      </w:r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z hlediska </w:t>
      </w:r>
      <w:proofErr w:type="spellStart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Climate</w:t>
      </w:r>
      <w:proofErr w:type="spellEnd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change</w:t>
      </w:r>
      <w:proofErr w:type="spellEnd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mitigation</w:t>
      </w:r>
      <w:proofErr w:type="spellEnd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</w:t>
      </w:r>
      <w:proofErr w:type="spellStart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Climate</w:t>
      </w:r>
      <w:proofErr w:type="spellEnd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change</w:t>
      </w:r>
      <w:proofErr w:type="spellEnd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adaptation</w:t>
      </w:r>
      <w:proofErr w:type="spellEnd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</w:t>
      </w:r>
      <w:proofErr w:type="spellStart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The</w:t>
      </w:r>
      <w:proofErr w:type="spellEnd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sustainable</w:t>
      </w:r>
      <w:proofErr w:type="spellEnd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use and </w:t>
      </w:r>
      <w:proofErr w:type="spellStart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protection</w:t>
      </w:r>
      <w:proofErr w:type="spellEnd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for</w:t>
      </w:r>
      <w:proofErr w:type="spellEnd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water</w:t>
      </w:r>
      <w:proofErr w:type="spellEnd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and </w:t>
      </w:r>
      <w:proofErr w:type="spellStart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marine</w:t>
      </w:r>
      <w:proofErr w:type="spellEnd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resources</w:t>
      </w:r>
      <w:proofErr w:type="spellEnd"/>
      <w:r w:rsidRPr="71E36747" w:rsidR="41BEA7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ani z pohledu </w:t>
      </w:r>
      <w:proofErr w:type="spellStart"/>
      <w:r w:rsidRPr="71E36747" w:rsidR="41BEA7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The</w:t>
      </w:r>
      <w:proofErr w:type="spellEnd"/>
      <w:r w:rsidRPr="71E36747" w:rsidR="41BEA7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41BEA7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protection</w:t>
      </w:r>
      <w:proofErr w:type="spellEnd"/>
      <w:r w:rsidRPr="71E36747" w:rsidR="41BEA7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and </w:t>
      </w:r>
      <w:proofErr w:type="spellStart"/>
      <w:r w:rsidRPr="71E36747" w:rsidR="41BEA7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restoration</w:t>
      </w:r>
      <w:proofErr w:type="spellEnd"/>
      <w:r w:rsidRPr="71E36747" w:rsidR="41BEA7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41BEA7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of</w:t>
      </w:r>
      <w:proofErr w:type="spellEnd"/>
      <w:r w:rsidRPr="71E36747" w:rsidR="41BEA7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biodiversity and </w:t>
      </w:r>
      <w:proofErr w:type="spellStart"/>
      <w:r w:rsidRPr="71E36747" w:rsidR="41BEA7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ecosystems</w:t>
      </w:r>
      <w:proofErr w:type="spellEnd"/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</w:p>
    <w:p w:rsidR="00E71593" w:rsidP="71E36747" w:rsidRDefault="008A42B9" w14:paraId="088D433C" w14:textId="6C59B81A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 této komponentě se primárně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nepočítá ani 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se stavebními investicemi. Způsobilé mohou být jen 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minimální 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stavební úpravy stávajících výzkumných prostor nezbytné pro instalace potřebných, modernějších výzkumných zařízení. </w:t>
      </w:r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Pokud dojde v projektech výzkumu a vývoje k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nezbytné individuální renovaci části stávajících budov, může jít jen o ojedinělé </w:t>
      </w:r>
      <w:r w:rsidRPr="71E36747" w:rsidR="197C7FE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 jednotkové počty </w:t>
      </w:r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místnost</w:t>
      </w:r>
      <w:r w:rsidRPr="71E36747" w:rsidR="197C7FE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í</w:t>
      </w:r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nebo jejich část</w:t>
      </w:r>
      <w:r w:rsidRPr="71E36747" w:rsidR="197C7FE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í</w:t>
      </w:r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spojené pouze s</w:t>
      </w:r>
      <w:r w:rsidRPr="71E36747" w:rsidR="41BEA7D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instalací nových vědeckých zařízení vyšší třídy a kvality</w:t>
      </w:r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, a to </w:t>
      </w:r>
      <w:r w:rsidRPr="71E36747" w:rsidR="2A76D09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 ve vztahu k ochraně osob a přírody</w:t>
      </w:r>
      <w:r w:rsidRPr="71E36747" w:rsidR="7F9BCDF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Respektování zásady „nepůsobit podstatnou škodu“ bude zajištěno tím, že v případě nezbytnosti investic do úprav staveb a budov národní legislativa striktně vyžaduje studie proveditelnosti a studie dopadů na životní prostředí.</w:t>
      </w:r>
    </w:p>
    <w:p w:rsidR="008A42B9" w:rsidP="71E36747" w:rsidRDefault="000A06F5" w14:paraId="27C55B71" w14:textId="77777777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Podpora projektů výzkumu a vývoje v této investici </w:t>
      </w:r>
      <w:r w:rsidRPr="71E36747" w:rsidR="197C7FE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ani podpořené aktivity jednotlivých projektů 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ne</w:t>
      </w:r>
      <w:r w:rsidRPr="71E36747" w:rsidR="197C7FE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budou mít 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dopad na </w:t>
      </w:r>
      <w:r w:rsidRPr="71E36747" w:rsidR="197C7FE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stávající 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vodní útvary, vodu v krajině ani na dostupnost vody, </w:t>
      </w:r>
      <w:r w:rsidRPr="71E36747" w:rsidR="197C7FE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ani nebudou 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nezvyš</w:t>
      </w:r>
      <w:r w:rsidRPr="71E36747" w:rsidR="197C7FE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ovat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odběr povrchových či podzemních vod, </w:t>
      </w:r>
      <w:r w:rsidRPr="71E36747" w:rsidR="197C7FE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nebo mít 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vliv na vodní režim. 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"DNSH taxonomy </w:t>
      </w:r>
      <w:proofErr w:type="spellStart"/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criteria</w:t>
      </w:r>
      <w:proofErr w:type="spellEnd"/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“ 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zde také 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neindikují v rámci "Professional, </w:t>
      </w:r>
      <w:proofErr w:type="spellStart"/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scientific</w:t>
      </w:r>
      <w:proofErr w:type="spellEnd"/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and </w:t>
      </w:r>
      <w:proofErr w:type="spellStart"/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technical</w:t>
      </w:r>
      <w:proofErr w:type="spellEnd"/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activities</w:t>
      </w:r>
      <w:proofErr w:type="spellEnd"/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" relevantní vazbu na tuto oblast.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</w:p>
    <w:p w:rsidR="008A42B9" w:rsidP="71E36747" w:rsidRDefault="000A06F5" w14:paraId="27888995" w14:textId="4A2BFE3C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Nepředpokládá se </w:t>
      </w:r>
      <w:r w:rsidRPr="71E36747" w:rsidR="197C7FE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zde 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žádný na </w:t>
      </w:r>
      <w:r w:rsidRPr="71E36747" w:rsidR="197C7FE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stávající systém odpadních 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vod </w:t>
      </w:r>
      <w:r w:rsidRPr="71E36747" w:rsidR="197C7FE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nebo odpadové hospodářství 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 to i při zohlednění přímých i nepřímých dopadů z pohledu celého životního cyklu komponenty. Investice </w:t>
      </w:r>
      <w:r w:rsidRPr="71E36747" w:rsidR="197C7FE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 ojedinělém případě může mít jen velmi zanedbatelný vliv na 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vznik </w:t>
      </w:r>
      <w:r w:rsidRPr="71E36747" w:rsidR="197C7FE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minimálního množství 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odpadních vod</w:t>
      </w:r>
      <w:r w:rsidRPr="71E36747" w:rsidR="197C7FE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biologických nebo chemických odpadů, ale musí být vždy i každým příjemcem podpory spl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ně</w:t>
      </w:r>
      <w:r w:rsidRPr="71E36747" w:rsidR="197C7FE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ny 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adekvátní požadavky na 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manipulaci s nimi i na 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jejich likvidaci v rámci sdílené infrastruktury 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nebo příslušných platných oprávnění k takové činnosti,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zároveň 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se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nesmí projektovými aktivitami 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zvyš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ovat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nároky na tuto infrastrukturu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 jinak podpora v rámci komponenty nebude poskytnuta</w:t>
      </w:r>
      <w:r w:rsidRPr="71E36747" w:rsidR="264CA8B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</w:p>
    <w:p w:rsidRPr="00992741" w:rsidR="00313ECE" w:rsidP="71E36747" w:rsidRDefault="008A42B9" w14:paraId="29143FA1" w14:textId="19D8D53F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Komponenta není primárně zaměřena ani na digitální technologie nebo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digitální 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inf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r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astruktur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y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  <w:r w:rsidRPr="71E36747" w:rsidR="454E589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Nicméně v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ýzkum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vývoj se v současné době rychlého rozvoje ITC bez digitálních technologií </w:t>
      </w:r>
      <w:r w:rsidRPr="71E36747" w:rsidR="46689A9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neobejde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technologicky vyspělá moderní informační infrastruktura výzkumu je jeho nedílnou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nezbytnou součástí. Akademická páteřní síť CESNET se v ČR aktivně připravuje na generaci 5G sítí. T</w:t>
      </w:r>
      <w:r w:rsidRPr="71E36747" w:rsidR="51F08B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y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t</w:t>
      </w:r>
      <w:r w:rsidRPr="71E36747" w:rsidR="51F08B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i 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další v ČR </w:t>
      </w:r>
      <w:r w:rsidRPr="71E36747" w:rsidR="51F08B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již 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fungující e-infrastruktury</w:t>
      </w:r>
      <w:r w:rsidRPr="71E36747" w:rsidR="51F08B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včetně 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veřejné správy budou ale </w:t>
      </w:r>
      <w:r w:rsidRPr="71E36747" w:rsidR="4E8240C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komplementárně k tomuto opatření 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podporovány z jiných komponent Národního plánu obnovy </w:t>
      </w:r>
      <w:r w:rsidRPr="71E36747" w:rsidR="4E8240C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 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 dalších </w:t>
      </w:r>
      <w:r w:rsidRPr="71E36747" w:rsidR="454E589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národních 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dotačních titulů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nebo z operačních programů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  <w:r w:rsidRPr="71E36747" w:rsidR="0E2A17D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 této komponentě </w:t>
      </w:r>
      <w:r w:rsidRPr="71E36747" w:rsidR="454E589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bude </w:t>
      </w:r>
      <w:r w:rsidRPr="71E36747" w:rsidR="0E2A17D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způsobilý pouze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0E2A17D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náklad přímo spojený s 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nezbytn</w:t>
      </w:r>
      <w:r w:rsidRPr="71E36747" w:rsidR="0E2A17D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ou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konektivit</w:t>
      </w:r>
      <w:r w:rsidRPr="71E36747" w:rsidR="0E2A17D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ou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nově </w:t>
      </w:r>
      <w:r w:rsidRPr="71E36747" w:rsidR="0E2A17D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pořizovaných výzkumných zařízení </w:t>
      </w:r>
      <w:r w:rsidRPr="71E36747" w:rsidR="3BAC79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 komponentě 5.1 </w:t>
      </w:r>
      <w:r w:rsidRPr="71E36747" w:rsidR="4E8240C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 užíváním nových digitálních </w:t>
      </w:r>
      <w:r w:rsidRPr="71E36747" w:rsidR="3B3349E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technologi</w:t>
      </w:r>
      <w:r w:rsidRPr="71E36747" w:rsidR="4E8240C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í</w:t>
      </w:r>
      <w:r w:rsidRPr="71E36747" w:rsidR="0E2A17D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pro zpracování a zpřístupňování vědeckých dat z těchto zařízení</w:t>
      </w:r>
      <w:r w:rsidRPr="71E36747" w:rsidR="3B3349E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.</w:t>
      </w:r>
      <w:r w:rsidRPr="71E36747" w:rsidR="454E589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Tyto výdaje </w:t>
      </w:r>
      <w:r w:rsidRPr="71E36747" w:rsidR="51F08B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mohou být </w:t>
      </w:r>
      <w:r w:rsidRPr="71E36747" w:rsidR="454E589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způsobilé po</w:t>
      </w:r>
      <w:r w:rsidRPr="71E36747" w:rsidR="51F08B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uze </w:t>
      </w:r>
      <w:r w:rsidRPr="71E36747" w:rsidR="1EAB2E7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po </w:t>
      </w:r>
      <w:r w:rsidRPr="71E36747" w:rsidR="454E589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kontrole </w:t>
      </w:r>
      <w:r w:rsidRPr="71E36747" w:rsidR="1EAB2E7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způsobilosti </w:t>
      </w:r>
      <w:r w:rsidRPr="71E36747" w:rsidR="454E589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 </w:t>
      </w:r>
      <w:r w:rsidRPr="71E36747" w:rsidR="51F08B9C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úplném vyloučení</w:t>
      </w:r>
      <w:r w:rsidRPr="71E36747" w:rsidR="454E589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0E2A17D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případných </w:t>
      </w:r>
      <w:r w:rsidRPr="71E36747" w:rsidR="454E589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duplicit</w:t>
      </w:r>
      <w:r w:rsidRPr="71E36747" w:rsidR="0E2A17D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  <w:r w:rsidRPr="71E36747" w:rsidR="454E589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J</w:t>
      </w:r>
      <w:r w:rsidRPr="71E36747" w:rsidR="169B480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ednou z podstatných podmínek fungování nových národních autorit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169B480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podpořených prioritních oblastech je poskytovat státní správě, odborné veřejnosti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169B480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dalším zájemcům interoperabilní </w:t>
      </w:r>
      <w:r w:rsidRPr="71E36747" w:rsidR="11C4B70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a </w:t>
      </w:r>
      <w:r w:rsidRPr="71E36747" w:rsidR="169B480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uživatelsky vstřícné digitální veřejné služby 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 </w:t>
      </w:r>
      <w:r w:rsidRPr="71E36747" w:rsidR="169B480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oblast</w:t>
      </w:r>
      <w:r w:rsidRPr="71E36747" w:rsidR="02B8AEAF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ech</w:t>
      </w:r>
      <w:r w:rsidRPr="71E36747" w:rsidR="169B480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svěřených kompetencí.</w:t>
      </w:r>
    </w:p>
    <w:p w:rsidR="001310F9" w:rsidP="71E36747" w:rsidRDefault="001310F9" w14:paraId="7985EF6F" w14:textId="5EB54211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Individuální projektové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aktivity podpořené v této komponentě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mohou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tedy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zahrnovat nezbytný nákup spotřební elektroniky a IT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jako nezbytné součásti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laboratorního vybavení, ale to není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stěžejním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jádrem investice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ani nepůjde o početné nákupy, ale jen o ojedinělé a individuální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V rámci investice se bude využívat pouze na trhu dostupných energeticky účinných zařízení, produktů a služeb, které nevyvolávají významný nárůst spotřeby energií v souladu s cíli Národního akčního plánu energetické účinnosti,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olitikou ochrany klimatu i cíli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v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nitrostátního plánu pro oblast energetiky a klimatu. U modernizace zařízení jsou vždy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u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přednostňovány aktuálně vyšší kategorie energetické účinnosti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i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u IT vybavení apod.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,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s přihlédnutím na jejich dostupnost na trhu.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</w:p>
    <w:p w:rsidR="001310F9" w:rsidP="71E36747" w:rsidRDefault="001310F9" w14:paraId="4A9CF02B" w14:textId="19BC4877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Projektové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aktivit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y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a projekty podpořené v této komponentě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musí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vždy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splňovat platné národní i evropské předpisy, nesmí zvyšovat rizika a musí být v souladu se sektorovými, regionálními a národními strategiemi, jinak nebud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e podpora v rámci komponenty jejímu konečnému příjemci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po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skytnuta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. </w:t>
      </w:r>
      <w:r w:rsidRPr="71E36747" w:rsidR="17E7C3F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>Poskytovatel zajistí ex- ante hodnocení i věcného zaměření projektů v rámci veřejné soutěže a dále kontroly věcného plnění cílů a projektových aktivit v průběhu i po ukončení řešení</w:t>
      </w:r>
      <w:r w:rsidRPr="71E36747" w:rsidR="601872AD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  <w:t xml:space="preserve"> v rozsahu dříve zmíněného zák. č. 130/2002 Sb.</w:t>
      </w:r>
    </w:p>
    <w:p w:rsidRPr="00992741" w:rsidR="007C0788" w:rsidP="71E36747" w:rsidRDefault="007C0788" w14:paraId="34D6AA48" w14:textId="4E9DAB48" w14:noSpellErr="1">
      <w:pPr>
        <w:pStyle w:val="K-TextInfo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auto"/>
          <w:sz w:val="20"/>
          <w:szCs w:val="20"/>
        </w:rPr>
      </w:pPr>
    </w:p>
    <w:sectPr w:rsidRPr="00992741" w:rsidR="007C0788" w:rsidSect="00CC5E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A7A2C" w:rsidP="00677FE0" w:rsidRDefault="00DA7A2C" w14:paraId="5D43B4D1" w14:textId="77777777">
      <w:pPr>
        <w:spacing w:after="0" w:line="240" w:lineRule="auto"/>
      </w:pPr>
      <w:r>
        <w:separator/>
      </w:r>
    </w:p>
  </w:endnote>
  <w:endnote w:type="continuationSeparator" w:id="0">
    <w:p w:rsidR="00DA7A2C" w:rsidP="00677FE0" w:rsidRDefault="00DA7A2C" w14:paraId="0B5C271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E4F4C" w:rsidRDefault="00FE4F4C" w14:paraId="61739A9A" w14:textId="777777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351768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A42B9" w:rsidRDefault="008A42B9" w14:paraId="1AA77FAB" w14:textId="00A1B202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4B46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4B46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Pr="009350FB" w:rsidR="008A42B9" w:rsidP="009350FB" w:rsidRDefault="008A42B9" w14:paraId="6D5CE4FE" w14:textId="33B750E7">
    <w:pPr>
      <w:pStyle w:val="Zpat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E4F4C" w:rsidRDefault="00FE4F4C" w14:paraId="5F416D1B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A7A2C" w:rsidP="00677FE0" w:rsidRDefault="00DA7A2C" w14:paraId="427A26BA" w14:textId="77777777">
      <w:pPr>
        <w:spacing w:after="0" w:line="240" w:lineRule="auto"/>
      </w:pPr>
      <w:r>
        <w:separator/>
      </w:r>
    </w:p>
  </w:footnote>
  <w:footnote w:type="continuationSeparator" w:id="0">
    <w:p w:rsidR="00DA7A2C" w:rsidP="00677FE0" w:rsidRDefault="00DA7A2C" w14:paraId="3F00110F" w14:textId="77777777">
      <w:pPr>
        <w:spacing w:after="0" w:line="240" w:lineRule="auto"/>
      </w:pPr>
      <w:r>
        <w:continuationSeparator/>
      </w:r>
    </w:p>
  </w:footnote>
  <w:footnote w:id="7">
    <w:p w:rsidRPr="00742093" w:rsidR="001F3CAF" w:rsidP="00742093" w:rsidRDefault="001F3CAF" w14:paraId="6AC79576" w14:textId="2BF7A2BB">
      <w:pPr>
        <w:pStyle w:val="Textpoznpodarou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742093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742093">
        <w:rPr>
          <w:rFonts w:ascii="Times New Roman" w:hAnsi="Times New Roman" w:cs="Times New Roman"/>
          <w:sz w:val="18"/>
          <w:szCs w:val="18"/>
        </w:rPr>
        <w:t xml:space="preserve"> )</w:t>
      </w:r>
      <w:r w:rsidRPr="00742093">
        <w:rPr>
          <w:rFonts w:ascii="Times New Roman" w:hAnsi="Times New Roman" w:cs="Times New Roman"/>
          <w:sz w:val="18"/>
          <w:szCs w:val="18"/>
        </w:rPr>
        <w:tab/>
      </w:r>
      <w:r w:rsidRPr="00742093">
        <w:rPr>
          <w:rFonts w:ascii="Times New Roman" w:hAnsi="Times New Roman" w:cs="Times New Roman"/>
          <w:sz w:val="18"/>
          <w:szCs w:val="18"/>
        </w:rPr>
        <w:t>Data</w:t>
      </w:r>
      <w:r w:rsidR="00742093">
        <w:rPr>
          <w:rFonts w:ascii="Times New Roman" w:hAnsi="Times New Roman" w:cs="Times New Roman"/>
          <w:sz w:val="18"/>
          <w:szCs w:val="18"/>
        </w:rPr>
        <w:t xml:space="preserve"> o zmíněných programech NPUII/LQ, NPU I/LO i o jednotlivých projektech</w:t>
      </w:r>
      <w:r w:rsidRPr="00742093">
        <w:rPr>
          <w:rFonts w:ascii="Times New Roman" w:hAnsi="Times New Roman" w:cs="Times New Roman"/>
          <w:sz w:val="18"/>
          <w:szCs w:val="18"/>
        </w:rPr>
        <w:t xml:space="preserve"> jsou </w:t>
      </w:r>
      <w:r w:rsidR="00742093">
        <w:rPr>
          <w:rFonts w:ascii="Times New Roman" w:hAnsi="Times New Roman" w:cs="Times New Roman"/>
          <w:sz w:val="18"/>
          <w:szCs w:val="18"/>
        </w:rPr>
        <w:t xml:space="preserve">veřejně dostupná </w:t>
      </w:r>
      <w:r w:rsidRPr="00742093">
        <w:rPr>
          <w:rFonts w:ascii="Times New Roman" w:hAnsi="Times New Roman" w:cs="Times New Roman"/>
          <w:sz w:val="18"/>
          <w:szCs w:val="18"/>
        </w:rPr>
        <w:t xml:space="preserve">v informačním systému IS </w:t>
      </w:r>
      <w:proofErr w:type="spellStart"/>
      <w:r w:rsidRPr="00742093">
        <w:rPr>
          <w:rFonts w:ascii="Times New Roman" w:hAnsi="Times New Roman" w:cs="Times New Roman"/>
          <w:sz w:val="18"/>
          <w:szCs w:val="18"/>
        </w:rPr>
        <w:t>VaVaI</w:t>
      </w:r>
      <w:proofErr w:type="spellEnd"/>
      <w:r w:rsidR="00742093">
        <w:rPr>
          <w:rFonts w:ascii="Times New Roman" w:hAnsi="Times New Roman" w:cs="Times New Roman"/>
          <w:sz w:val="18"/>
          <w:szCs w:val="18"/>
        </w:rPr>
        <w:t xml:space="preserve"> ( např. </w:t>
      </w:r>
      <w:hyperlink w:history="1" r:id="rId6">
        <w:r w:rsidRPr="00742093" w:rsidR="00742093">
          <w:rPr>
            <w:rStyle w:val="Hypertextovodkaz"/>
            <w:rFonts w:ascii="Times New Roman" w:hAnsi="Times New Roman" w:cs="Times New Roman"/>
            <w:sz w:val="18"/>
            <w:szCs w:val="18"/>
          </w:rPr>
          <w:t>https://www.isvavai.cz/cea?s=programy&amp;ss=detail&amp;n=0&amp;h=LQ</w:t>
        </w:r>
      </w:hyperlink>
      <w:r w:rsidR="00742093">
        <w:rPr>
          <w:rFonts w:ascii="Times New Roman" w:hAnsi="Times New Roman" w:cs="Times New Roman"/>
          <w:sz w:val="18"/>
          <w:szCs w:val="18"/>
        </w:rPr>
        <w:t xml:space="preserve"> )</w:t>
      </w:r>
    </w:p>
  </w:footnote>
  <w:footnote w:id="8">
    <w:p w:rsidRPr="00A302AB" w:rsidR="002E0D11" w:rsidP="00A302AB" w:rsidRDefault="002E0D11" w14:paraId="0D0E4143" w14:textId="4F179C5D">
      <w:pPr>
        <w:pStyle w:val="Textpoznpodarou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) </w:t>
      </w:r>
      <w:r>
        <w:tab/>
      </w:r>
      <w:r w:rsidRPr="00A302AB">
        <w:rPr>
          <w:rFonts w:ascii="Times New Roman" w:hAnsi="Times New Roman" w:cs="Times New Roman"/>
          <w:sz w:val="18"/>
          <w:szCs w:val="18"/>
        </w:rPr>
        <w:t xml:space="preserve">Viz např. </w:t>
      </w:r>
      <w:hyperlink w:history="1" r:id="rId7">
        <w:r w:rsidRPr="00A302AB">
          <w:rPr>
            <w:rStyle w:val="Hypertextovodkaz"/>
            <w:rFonts w:ascii="Times New Roman" w:hAnsi="Times New Roman" w:cs="Times New Roman"/>
            <w:sz w:val="18"/>
            <w:szCs w:val="18"/>
          </w:rPr>
          <w:t>https://www.isvavai.cz/cep?s=jednoduche-vyhledavani&amp;ss=detail&amp;n=0&amp;h=LQ1601</w:t>
        </w:r>
      </w:hyperlink>
      <w:r w:rsidRPr="00A302AB">
        <w:rPr>
          <w:rFonts w:ascii="Times New Roman" w:hAnsi="Times New Roman" w:cs="Times New Roman"/>
          <w:sz w:val="18"/>
          <w:szCs w:val="18"/>
        </w:rPr>
        <w:t xml:space="preserve"> nebo </w:t>
      </w:r>
      <w:hyperlink w:history="1" r:id="rId8">
        <w:r w:rsidRPr="00A302AB">
          <w:rPr>
            <w:rStyle w:val="Hypertextovodkaz"/>
            <w:rFonts w:ascii="Times New Roman" w:hAnsi="Times New Roman" w:cs="Times New Roman"/>
            <w:sz w:val="18"/>
            <w:szCs w:val="18"/>
          </w:rPr>
          <w:t>https://www.ceitec.eu/</w:t>
        </w:r>
      </w:hyperlink>
      <w:r w:rsidRPr="00A302AB">
        <w:rPr>
          <w:rFonts w:ascii="Times New Roman" w:hAnsi="Times New Roman" w:cs="Times New Roman"/>
          <w:sz w:val="18"/>
          <w:szCs w:val="18"/>
        </w:rPr>
        <w:t xml:space="preserve"> nebo </w:t>
      </w:r>
      <w:hyperlink w:history="1" r:id="rId9">
        <w:r w:rsidRPr="00A302AB">
          <w:rPr>
            <w:rStyle w:val="Hypertextovodkaz"/>
            <w:rFonts w:ascii="Times New Roman" w:hAnsi="Times New Roman" w:cs="Times New Roman"/>
            <w:sz w:val="18"/>
            <w:szCs w:val="18"/>
          </w:rPr>
          <w:t>https://www.ceitec.cz/</w:t>
        </w:r>
      </w:hyperlink>
      <w:r w:rsidRPr="00A302AB">
        <w:rPr>
          <w:rFonts w:ascii="Times New Roman" w:hAnsi="Times New Roman" w:cs="Times New Roman"/>
          <w:sz w:val="18"/>
          <w:szCs w:val="18"/>
        </w:rPr>
        <w:t xml:space="preserve"> )</w:t>
      </w:r>
    </w:p>
  </w:footnote>
  <w:footnote w:id="9">
    <w:p w:rsidRPr="00A302AB" w:rsidR="002E0D11" w:rsidP="00A302AB" w:rsidRDefault="002E0D11" w14:paraId="27BA8192" w14:textId="32B0A7A9">
      <w:pPr>
        <w:pStyle w:val="Textpoznpodarou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>)</w:t>
      </w:r>
      <w:r>
        <w:tab/>
      </w:r>
      <w:r>
        <w:rPr>
          <w:rFonts w:ascii="Times New Roman" w:hAnsi="Times New Roman" w:cs="Times New Roman"/>
          <w:sz w:val="18"/>
          <w:szCs w:val="18"/>
        </w:rPr>
        <w:t xml:space="preserve">viz např. </w:t>
      </w:r>
      <w:hyperlink w:history="1" r:id="rId10">
        <w:r w:rsidRPr="003E23DB">
          <w:rPr>
            <w:rStyle w:val="Hypertextovodkaz"/>
            <w:rFonts w:ascii="Times New Roman" w:hAnsi="Times New Roman" w:cs="Times New Roman"/>
            <w:sz w:val="18"/>
            <w:szCs w:val="18"/>
          </w:rPr>
          <w:t>https://www.isvavai.cz/cep?s=jednoduche-vyhledavani&amp;ss=detail&amp;n=0&amp;h=LQ1605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nebo </w:t>
      </w:r>
      <w:r w:rsidRPr="002E0D11">
        <w:rPr>
          <w:rFonts w:ascii="Times New Roman" w:hAnsi="Times New Roman" w:cs="Times New Roman"/>
          <w:sz w:val="18"/>
          <w:szCs w:val="18"/>
        </w:rPr>
        <w:t>https://www.fnusa-icrc.org/cz/</w:t>
      </w:r>
      <w:r w:rsidRPr="00A302AB">
        <w:rPr>
          <w:rFonts w:ascii="Times New Roman" w:hAnsi="Times New Roman" w:cs="Times New Roman"/>
          <w:sz w:val="18"/>
          <w:szCs w:val="18"/>
        </w:rPr>
        <w:t xml:space="preserve"> nebo https://www.fnusa-icrc.org/en</w:t>
      </w:r>
    </w:p>
  </w:footnote>
  <w:footnote w:id="10">
    <w:p w:rsidRPr="007C342A" w:rsidR="008A42B9" w:rsidP="001C1029" w:rsidRDefault="008A42B9" w14:paraId="3F2EBFFD" w14:textId="77777777">
      <w:pPr>
        <w:pStyle w:val="Textpoznpodarou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7C34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7C342A">
        <w:rPr>
          <w:rFonts w:ascii="Times New Roman" w:hAnsi="Times New Roman" w:cs="Times New Roman"/>
          <w:sz w:val="18"/>
          <w:szCs w:val="18"/>
        </w:rPr>
        <w:t>)</w:t>
      </w:r>
      <w:r w:rsidRPr="007C342A">
        <w:rPr>
          <w:rFonts w:ascii="Times New Roman" w:hAnsi="Times New Roman" w:cs="Times New Roman"/>
          <w:sz w:val="18"/>
          <w:szCs w:val="18"/>
        </w:rPr>
        <w:tab/>
      </w:r>
      <w:r w:rsidRPr="007C342A">
        <w:rPr>
          <w:rFonts w:ascii="Times New Roman" w:hAnsi="Times New Roman" w:cs="Times New Roman"/>
          <w:sz w:val="18"/>
          <w:szCs w:val="18"/>
        </w:rPr>
        <w:t xml:space="preserve">Data o realizovaných programech i o projektech jsou k dispozici ve veřejně dostupném národním informačním systému IS </w:t>
      </w:r>
      <w:proofErr w:type="spellStart"/>
      <w:r w:rsidRPr="007C342A">
        <w:rPr>
          <w:rFonts w:ascii="Times New Roman" w:hAnsi="Times New Roman" w:cs="Times New Roman"/>
          <w:sz w:val="18"/>
          <w:szCs w:val="18"/>
        </w:rPr>
        <w:t>VaVaI</w:t>
      </w:r>
      <w:proofErr w:type="spellEnd"/>
      <w:r w:rsidRPr="007C342A">
        <w:rPr>
          <w:rFonts w:ascii="Times New Roman" w:hAnsi="Times New Roman" w:cs="Times New Roman"/>
          <w:sz w:val="18"/>
          <w:szCs w:val="18"/>
        </w:rPr>
        <w:t xml:space="preserve"> </w:t>
      </w:r>
      <w:hyperlink w:history="1" r:id="rId11">
        <w:r w:rsidRPr="000E3086">
          <w:rPr>
            <w:rStyle w:val="Hypertextovodkaz"/>
            <w:rFonts w:ascii="Times New Roman" w:hAnsi="Times New Roman" w:cs="Times New Roman"/>
            <w:sz w:val="18"/>
            <w:szCs w:val="18"/>
          </w:rPr>
          <w:t>https://www.isvavai.cz/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C342A">
        <w:rPr>
          <w:rFonts w:ascii="Times New Roman" w:hAnsi="Times New Roman" w:cs="Times New Roman"/>
          <w:sz w:val="18"/>
          <w:szCs w:val="18"/>
        </w:rPr>
        <w:t xml:space="preserve">  </w:t>
      </w:r>
    </w:p>
  </w:footnote>
  <w:footnote w:id="11">
    <w:p w:rsidRPr="0037455E" w:rsidR="0037455E" w:rsidP="0037455E" w:rsidRDefault="0037455E" w14:paraId="79C3AE27" w14:textId="49BFF0D6">
      <w:pPr>
        <w:pStyle w:val="Textpoznpodarou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>)</w:t>
      </w:r>
      <w:r>
        <w:tab/>
      </w:r>
      <w:r w:rsidRPr="0037455E">
        <w:rPr>
          <w:rFonts w:ascii="Times New Roman" w:hAnsi="Times New Roman" w:cs="Times New Roman"/>
          <w:sz w:val="18"/>
          <w:szCs w:val="18"/>
        </w:rPr>
        <w:t xml:space="preserve">Vondrák, T., Kučera </w:t>
      </w:r>
      <w:proofErr w:type="spellStart"/>
      <w:r w:rsidRPr="0037455E">
        <w:rPr>
          <w:rFonts w:ascii="Times New Roman" w:hAnsi="Times New Roman" w:cs="Times New Roman"/>
          <w:sz w:val="18"/>
          <w:szCs w:val="18"/>
        </w:rPr>
        <w:t>Zd</w:t>
      </w:r>
      <w:proofErr w:type="spellEnd"/>
      <w:r w:rsidRPr="0037455E">
        <w:rPr>
          <w:rFonts w:ascii="Times New Roman" w:hAnsi="Times New Roman" w:cs="Times New Roman"/>
          <w:sz w:val="18"/>
          <w:szCs w:val="18"/>
        </w:rPr>
        <w:t xml:space="preserve">.., Pazour M.: Posouzení zaměření zdravotního </w:t>
      </w:r>
      <w:proofErr w:type="spellStart"/>
      <w:r w:rsidRPr="0037455E">
        <w:rPr>
          <w:rFonts w:ascii="Times New Roman" w:hAnsi="Times New Roman" w:cs="Times New Roman"/>
          <w:sz w:val="18"/>
          <w:szCs w:val="18"/>
        </w:rPr>
        <w:t>VaV</w:t>
      </w:r>
      <w:proofErr w:type="spellEnd"/>
      <w:r w:rsidRPr="0037455E">
        <w:rPr>
          <w:rFonts w:ascii="Times New Roman" w:hAnsi="Times New Roman" w:cs="Times New Roman"/>
          <w:sz w:val="18"/>
          <w:szCs w:val="18"/>
        </w:rPr>
        <w:t xml:space="preserve"> na základě </w:t>
      </w:r>
      <w:proofErr w:type="spellStart"/>
      <w:r w:rsidRPr="0037455E">
        <w:rPr>
          <w:rFonts w:ascii="Times New Roman" w:hAnsi="Times New Roman" w:cs="Times New Roman"/>
          <w:sz w:val="18"/>
          <w:szCs w:val="18"/>
        </w:rPr>
        <w:t>bibliometrické</w:t>
      </w:r>
      <w:proofErr w:type="spellEnd"/>
      <w:r w:rsidRPr="0037455E">
        <w:rPr>
          <w:rFonts w:ascii="Times New Roman" w:hAnsi="Times New Roman" w:cs="Times New Roman"/>
          <w:sz w:val="18"/>
          <w:szCs w:val="18"/>
        </w:rPr>
        <w:t xml:space="preserve"> analýzy publikací ve vybraných lékařských a příbuzných oborech. Technologické centrum AV ČR, únor 2021. </w:t>
      </w:r>
      <w:bookmarkStart w:name="_Hlk66214747" w:id="3"/>
      <w:r w:rsidRPr="0037455E">
        <w:rPr>
          <w:rFonts w:ascii="Times New Roman" w:hAnsi="Times New Roman" w:cs="Times New Roman"/>
          <w:sz w:val="18"/>
          <w:szCs w:val="18"/>
        </w:rPr>
        <w:t xml:space="preserve">Kučera </w:t>
      </w:r>
      <w:proofErr w:type="spellStart"/>
      <w:r w:rsidRPr="0037455E">
        <w:rPr>
          <w:rFonts w:ascii="Times New Roman" w:hAnsi="Times New Roman" w:cs="Times New Roman"/>
          <w:sz w:val="18"/>
          <w:szCs w:val="18"/>
        </w:rPr>
        <w:t>Zd</w:t>
      </w:r>
      <w:proofErr w:type="spellEnd"/>
      <w:r w:rsidRPr="0037455E">
        <w:rPr>
          <w:rFonts w:ascii="Times New Roman" w:hAnsi="Times New Roman" w:cs="Times New Roman"/>
          <w:sz w:val="18"/>
          <w:szCs w:val="18"/>
        </w:rPr>
        <w:t xml:space="preserve">., Vondrák T., Pecha O.: Posouzení kapacit a zaměření zdravotního </w:t>
      </w:r>
      <w:proofErr w:type="spellStart"/>
      <w:r w:rsidRPr="0037455E">
        <w:rPr>
          <w:rFonts w:ascii="Times New Roman" w:hAnsi="Times New Roman" w:cs="Times New Roman"/>
          <w:sz w:val="18"/>
          <w:szCs w:val="18"/>
        </w:rPr>
        <w:t>VaV</w:t>
      </w:r>
      <w:proofErr w:type="spellEnd"/>
      <w:r w:rsidRPr="0037455E">
        <w:rPr>
          <w:rFonts w:ascii="Times New Roman" w:hAnsi="Times New Roman" w:cs="Times New Roman"/>
          <w:sz w:val="18"/>
          <w:szCs w:val="18"/>
        </w:rPr>
        <w:t xml:space="preserve"> na základě analýzy účasti v národních programech </w:t>
      </w:r>
      <w:proofErr w:type="spellStart"/>
      <w:r w:rsidRPr="0037455E">
        <w:rPr>
          <w:rFonts w:ascii="Times New Roman" w:hAnsi="Times New Roman" w:cs="Times New Roman"/>
          <w:sz w:val="18"/>
          <w:szCs w:val="18"/>
        </w:rPr>
        <w:t>VaV</w:t>
      </w:r>
      <w:proofErr w:type="spellEnd"/>
      <w:r w:rsidRPr="0037455E">
        <w:rPr>
          <w:rFonts w:ascii="Times New Roman" w:hAnsi="Times New Roman" w:cs="Times New Roman"/>
          <w:sz w:val="18"/>
          <w:szCs w:val="18"/>
        </w:rPr>
        <w:t xml:space="preserve"> a Horizontu 2020. Technologické centrum AV ČR, listopad 2020.</w:t>
      </w:r>
      <w:bookmarkEnd w:id="3"/>
    </w:p>
  </w:footnote>
  <w:footnote w:id="12">
    <w:p w:rsidRPr="00992741" w:rsidR="008A42B9" w:rsidP="00992741" w:rsidRDefault="008A42B9" w14:paraId="24069C68" w14:textId="55A3265F">
      <w:pPr>
        <w:pStyle w:val="Textpoznpodarou"/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>)</w:t>
      </w:r>
      <w:r>
        <w:tab/>
      </w:r>
      <w:r w:rsidRPr="00992741">
        <w:rPr>
          <w:rFonts w:ascii="Times New Roman" w:hAnsi="Times New Roman" w:cs="Times New Roman"/>
          <w:sz w:val="18"/>
          <w:szCs w:val="18"/>
        </w:rPr>
        <w:t xml:space="preserve">Identifikace byla provedena </w:t>
      </w:r>
      <w:proofErr w:type="spellStart"/>
      <w:r w:rsidRPr="00992741">
        <w:rPr>
          <w:rFonts w:ascii="Times New Roman" w:hAnsi="Times New Roman" w:cs="Times New Roman"/>
          <w:sz w:val="18"/>
          <w:szCs w:val="18"/>
        </w:rPr>
        <w:t>bibliometrickými</w:t>
      </w:r>
      <w:proofErr w:type="spellEnd"/>
      <w:r w:rsidRPr="00992741">
        <w:rPr>
          <w:rFonts w:ascii="Times New Roman" w:hAnsi="Times New Roman" w:cs="Times New Roman"/>
          <w:sz w:val="18"/>
          <w:szCs w:val="18"/>
        </w:rPr>
        <w:t xml:space="preserve"> a analytickými studiemi technologickým centr</w:t>
      </w:r>
      <w:r>
        <w:rPr>
          <w:rFonts w:ascii="Times New Roman" w:hAnsi="Times New Roman" w:cs="Times New Roman"/>
          <w:sz w:val="18"/>
          <w:szCs w:val="18"/>
        </w:rPr>
        <w:t>em</w:t>
      </w:r>
      <w:r w:rsidRPr="00992741">
        <w:rPr>
          <w:rFonts w:ascii="Times New Roman" w:hAnsi="Times New Roman" w:cs="Times New Roman"/>
          <w:sz w:val="18"/>
          <w:szCs w:val="18"/>
        </w:rPr>
        <w:t xml:space="preserve"> AV ČR</w:t>
      </w:r>
      <w:r w:rsidR="000D64C0">
        <w:rPr>
          <w:rFonts w:ascii="Times New Roman" w:hAnsi="Times New Roman" w:cs="Times New Roman"/>
          <w:sz w:val="18"/>
          <w:szCs w:val="18"/>
        </w:rPr>
        <w:t xml:space="preserve"> (</w:t>
      </w:r>
      <w:r w:rsidRPr="00A302AB" w:rsidR="000D64C0">
        <w:rPr>
          <w:rFonts w:ascii="Times New Roman" w:hAnsi="Times New Roman" w:cs="Times New Roman"/>
          <w:sz w:val="18"/>
          <w:szCs w:val="18"/>
        </w:rPr>
        <w:t xml:space="preserve">Vondrák, T., Kučera </w:t>
      </w:r>
      <w:proofErr w:type="spellStart"/>
      <w:r w:rsidRPr="00A302AB" w:rsidR="000D64C0">
        <w:rPr>
          <w:rFonts w:ascii="Times New Roman" w:hAnsi="Times New Roman" w:cs="Times New Roman"/>
          <w:sz w:val="18"/>
          <w:szCs w:val="18"/>
        </w:rPr>
        <w:t>Zd</w:t>
      </w:r>
      <w:proofErr w:type="spellEnd"/>
      <w:r w:rsidRPr="00A302AB" w:rsidR="000D64C0">
        <w:rPr>
          <w:rFonts w:ascii="Times New Roman" w:hAnsi="Times New Roman" w:cs="Times New Roman"/>
          <w:sz w:val="18"/>
          <w:szCs w:val="18"/>
        </w:rPr>
        <w:t xml:space="preserve">.., Pazour M.: Posouzení zaměření zdravotního </w:t>
      </w:r>
      <w:proofErr w:type="spellStart"/>
      <w:r w:rsidRPr="00A302AB" w:rsidR="000D64C0">
        <w:rPr>
          <w:rFonts w:ascii="Times New Roman" w:hAnsi="Times New Roman" w:cs="Times New Roman"/>
          <w:sz w:val="18"/>
          <w:szCs w:val="18"/>
        </w:rPr>
        <w:t>VaV</w:t>
      </w:r>
      <w:proofErr w:type="spellEnd"/>
      <w:r w:rsidRPr="00A302AB" w:rsidR="000D64C0">
        <w:rPr>
          <w:rFonts w:ascii="Times New Roman" w:hAnsi="Times New Roman" w:cs="Times New Roman"/>
          <w:sz w:val="18"/>
          <w:szCs w:val="18"/>
        </w:rPr>
        <w:t xml:space="preserve"> na základě </w:t>
      </w:r>
      <w:proofErr w:type="spellStart"/>
      <w:r w:rsidRPr="00A302AB" w:rsidR="000D64C0">
        <w:rPr>
          <w:rFonts w:ascii="Times New Roman" w:hAnsi="Times New Roman" w:cs="Times New Roman"/>
          <w:sz w:val="18"/>
          <w:szCs w:val="18"/>
        </w:rPr>
        <w:t>bibliometrické</w:t>
      </w:r>
      <w:proofErr w:type="spellEnd"/>
      <w:r w:rsidRPr="00A302AB" w:rsidR="000D64C0">
        <w:rPr>
          <w:rFonts w:ascii="Times New Roman" w:hAnsi="Times New Roman" w:cs="Times New Roman"/>
          <w:sz w:val="18"/>
          <w:szCs w:val="18"/>
        </w:rPr>
        <w:t xml:space="preserve"> analýzy publikací ve vybraných lékařských a příbuzných oborech. Technologické centrum AV ČR, únor 2021</w:t>
      </w:r>
      <w:r w:rsidR="000D64C0">
        <w:rPr>
          <w:rFonts w:ascii="Times New Roman" w:hAnsi="Times New Roman" w:cs="Times New Roman"/>
          <w:sz w:val="18"/>
          <w:szCs w:val="18"/>
        </w:rPr>
        <w:t>,</w:t>
      </w:r>
      <w:r w:rsidRPr="000D64C0" w:rsidR="000D64C0">
        <w:t xml:space="preserve"> </w:t>
      </w:r>
      <w:r w:rsidRPr="000D64C0" w:rsidR="000D64C0">
        <w:rPr>
          <w:rFonts w:ascii="Times New Roman" w:hAnsi="Times New Roman" w:cs="Times New Roman"/>
          <w:sz w:val="18"/>
          <w:szCs w:val="18"/>
        </w:rPr>
        <w:t xml:space="preserve">Kučera </w:t>
      </w:r>
      <w:proofErr w:type="spellStart"/>
      <w:r w:rsidRPr="000D64C0" w:rsidR="000D64C0">
        <w:rPr>
          <w:rFonts w:ascii="Times New Roman" w:hAnsi="Times New Roman" w:cs="Times New Roman"/>
          <w:sz w:val="18"/>
          <w:szCs w:val="18"/>
        </w:rPr>
        <w:t>Zd</w:t>
      </w:r>
      <w:proofErr w:type="spellEnd"/>
      <w:r w:rsidRPr="000D64C0" w:rsidR="000D64C0">
        <w:rPr>
          <w:rFonts w:ascii="Times New Roman" w:hAnsi="Times New Roman" w:cs="Times New Roman"/>
          <w:sz w:val="18"/>
          <w:szCs w:val="18"/>
        </w:rPr>
        <w:t xml:space="preserve">., Vondrák T., Pecha O.: Posouzení kapacit a zaměření zdravotního </w:t>
      </w:r>
      <w:proofErr w:type="spellStart"/>
      <w:r w:rsidRPr="000D64C0" w:rsidR="000D64C0">
        <w:rPr>
          <w:rFonts w:ascii="Times New Roman" w:hAnsi="Times New Roman" w:cs="Times New Roman"/>
          <w:sz w:val="18"/>
          <w:szCs w:val="18"/>
        </w:rPr>
        <w:t>VaV</w:t>
      </w:r>
      <w:proofErr w:type="spellEnd"/>
      <w:r w:rsidRPr="000D64C0" w:rsidR="000D64C0">
        <w:rPr>
          <w:rFonts w:ascii="Times New Roman" w:hAnsi="Times New Roman" w:cs="Times New Roman"/>
          <w:sz w:val="18"/>
          <w:szCs w:val="18"/>
        </w:rPr>
        <w:t xml:space="preserve"> na základě analýzy účasti v národních programech </w:t>
      </w:r>
      <w:proofErr w:type="spellStart"/>
      <w:r w:rsidRPr="000D64C0" w:rsidR="000D64C0">
        <w:rPr>
          <w:rFonts w:ascii="Times New Roman" w:hAnsi="Times New Roman" w:cs="Times New Roman"/>
          <w:sz w:val="18"/>
          <w:szCs w:val="18"/>
        </w:rPr>
        <w:t>VaV</w:t>
      </w:r>
      <w:proofErr w:type="spellEnd"/>
      <w:r w:rsidRPr="000D64C0" w:rsidR="000D64C0">
        <w:rPr>
          <w:rFonts w:ascii="Times New Roman" w:hAnsi="Times New Roman" w:cs="Times New Roman"/>
          <w:sz w:val="18"/>
          <w:szCs w:val="18"/>
        </w:rPr>
        <w:t xml:space="preserve"> a Horizontu 2020. Technologické centrum AV ČR, listopad 2020</w:t>
      </w:r>
      <w:r w:rsidRPr="00A302AB" w:rsidR="000D64C0">
        <w:rPr>
          <w:rFonts w:ascii="Times New Roman" w:hAnsi="Times New Roman" w:cs="Times New Roman"/>
          <w:sz w:val="18"/>
          <w:szCs w:val="18"/>
        </w:rPr>
        <w:t>)</w:t>
      </w:r>
      <w:r w:rsidRPr="00992741">
        <w:rPr>
          <w:rFonts w:ascii="Times New Roman" w:hAnsi="Times New Roman" w:cs="Times New Roman"/>
          <w:sz w:val="18"/>
          <w:szCs w:val="18"/>
        </w:rPr>
        <w:t xml:space="preserve">, </w:t>
      </w:r>
      <w:r w:rsidR="000D64C0">
        <w:rPr>
          <w:rFonts w:ascii="Times New Roman" w:hAnsi="Times New Roman" w:cs="Times New Roman"/>
          <w:sz w:val="18"/>
          <w:szCs w:val="18"/>
        </w:rPr>
        <w:t>dále</w:t>
      </w:r>
      <w:r w:rsidRPr="00992741">
        <w:rPr>
          <w:rFonts w:ascii="Times New Roman" w:hAnsi="Times New Roman" w:cs="Times New Roman"/>
          <w:sz w:val="18"/>
          <w:szCs w:val="18"/>
        </w:rPr>
        <w:t xml:space="preserve"> na základě spoluautorství vyplývajících z </w:t>
      </w:r>
      <w:proofErr w:type="spellStart"/>
      <w:r w:rsidRPr="00992741">
        <w:rPr>
          <w:rFonts w:ascii="Times New Roman" w:hAnsi="Times New Roman" w:cs="Times New Roman"/>
          <w:sz w:val="18"/>
          <w:szCs w:val="18"/>
        </w:rPr>
        <w:t>bibliometrických</w:t>
      </w:r>
      <w:proofErr w:type="spellEnd"/>
      <w:r w:rsidRPr="00992741">
        <w:rPr>
          <w:rFonts w:ascii="Times New Roman" w:hAnsi="Times New Roman" w:cs="Times New Roman"/>
          <w:sz w:val="18"/>
          <w:szCs w:val="18"/>
        </w:rPr>
        <w:t xml:space="preserve"> dat W</w:t>
      </w:r>
      <w:r>
        <w:rPr>
          <w:rFonts w:ascii="Times New Roman" w:hAnsi="Times New Roman" w:cs="Times New Roman"/>
          <w:sz w:val="18"/>
          <w:szCs w:val="18"/>
        </w:rPr>
        <w:t xml:space="preserve">eb </w:t>
      </w:r>
      <w:proofErr w:type="spellStart"/>
      <w:r>
        <w:rPr>
          <w:rFonts w:ascii="Times New Roman" w:hAnsi="Times New Roman" w:cs="Times New Roman"/>
          <w:sz w:val="18"/>
          <w:szCs w:val="18"/>
        </w:rPr>
        <w:t>of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Science</w:t>
      </w:r>
      <w:r w:rsidRPr="00992741">
        <w:rPr>
          <w:rFonts w:ascii="Times New Roman" w:hAnsi="Times New Roman" w:cs="Times New Roman"/>
          <w:sz w:val="18"/>
          <w:szCs w:val="18"/>
        </w:rPr>
        <w:t xml:space="preserve"> nebo z projektové spolupráce patrné z dat </w:t>
      </w:r>
      <w:proofErr w:type="spellStart"/>
      <w:r>
        <w:rPr>
          <w:rFonts w:ascii="Times New Roman" w:hAnsi="Times New Roman" w:cs="Times New Roman"/>
          <w:sz w:val="18"/>
          <w:szCs w:val="18"/>
        </w:rPr>
        <w:t>ISVaVaI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992741">
        <w:rPr>
          <w:rFonts w:ascii="Times New Roman" w:hAnsi="Times New Roman" w:cs="Times New Roman"/>
          <w:sz w:val="18"/>
          <w:szCs w:val="18"/>
        </w:rPr>
        <w:t xml:space="preserve">Informačního systému výzkumu a vývoje ČR spravovaného </w:t>
      </w:r>
      <w:r>
        <w:rPr>
          <w:rFonts w:ascii="Times New Roman" w:hAnsi="Times New Roman" w:cs="Times New Roman"/>
          <w:sz w:val="18"/>
          <w:szCs w:val="18"/>
        </w:rPr>
        <w:t xml:space="preserve">celostátně </w:t>
      </w:r>
      <w:r w:rsidRPr="00992741">
        <w:rPr>
          <w:rFonts w:ascii="Times New Roman" w:hAnsi="Times New Roman" w:cs="Times New Roman"/>
          <w:sz w:val="18"/>
          <w:szCs w:val="18"/>
        </w:rPr>
        <w:t>Radou vlády pro výzkum, vý</w:t>
      </w:r>
      <w:r>
        <w:rPr>
          <w:rFonts w:ascii="Times New Roman" w:hAnsi="Times New Roman" w:cs="Times New Roman"/>
          <w:sz w:val="18"/>
          <w:szCs w:val="18"/>
        </w:rPr>
        <w:t>voj</w:t>
      </w:r>
      <w:r w:rsidRPr="00992741">
        <w:rPr>
          <w:rFonts w:ascii="Times New Roman" w:hAnsi="Times New Roman" w:cs="Times New Roman"/>
          <w:sz w:val="18"/>
          <w:szCs w:val="18"/>
        </w:rPr>
        <w:t xml:space="preserve"> a inovace</w:t>
      </w:r>
      <w:r w:rsidR="000D64C0">
        <w:rPr>
          <w:rFonts w:ascii="Times New Roman" w:hAnsi="Times New Roman" w:cs="Times New Roman"/>
          <w:sz w:val="18"/>
          <w:szCs w:val="18"/>
        </w:rPr>
        <w:t xml:space="preserve"> www.isvavai.cz</w:t>
      </w:r>
      <w:r w:rsidRPr="00992741">
        <w:rPr>
          <w:rFonts w:ascii="Times New Roman" w:hAnsi="Times New Roman" w:cs="Times New Roman"/>
          <w:sz w:val="18"/>
          <w:szCs w:val="18"/>
        </w:rPr>
        <w:t xml:space="preserve">). </w:t>
      </w:r>
      <w:r w:rsidRPr="000D64C0" w:rsidR="000D64C0">
        <w:rPr>
          <w:rFonts w:ascii="Times New Roman" w:hAnsi="Times New Roman" w:cs="Times New Roman"/>
          <w:sz w:val="18"/>
          <w:szCs w:val="18"/>
        </w:rPr>
        <w:t xml:space="preserve">Výroční „Analýza stavu </w:t>
      </w:r>
      <w:proofErr w:type="spellStart"/>
      <w:r w:rsidRPr="000D64C0" w:rsidR="000D64C0">
        <w:rPr>
          <w:rFonts w:ascii="Times New Roman" w:hAnsi="Times New Roman" w:cs="Times New Roman"/>
          <w:sz w:val="18"/>
          <w:szCs w:val="18"/>
        </w:rPr>
        <w:t>VaVaI</w:t>
      </w:r>
      <w:proofErr w:type="spellEnd"/>
      <w:r w:rsidRPr="000D64C0" w:rsidR="000D64C0">
        <w:rPr>
          <w:rFonts w:ascii="Times New Roman" w:hAnsi="Times New Roman" w:cs="Times New Roman"/>
          <w:sz w:val="18"/>
          <w:szCs w:val="18"/>
        </w:rPr>
        <w:t xml:space="preserve"> v ČR a jejich srovnání se zahraničím“, předkládaná RVVI vládě pro informaci lednu 2019 (https://www.vyzkum.cz/FrontClanek.aspx?idsekce=677142 ) nebo Zpráva o hodnocení plnění opatření NP </w:t>
      </w:r>
      <w:proofErr w:type="spellStart"/>
      <w:r w:rsidRPr="000D64C0" w:rsidR="000D64C0">
        <w:rPr>
          <w:rFonts w:ascii="Times New Roman" w:hAnsi="Times New Roman" w:cs="Times New Roman"/>
          <w:sz w:val="18"/>
          <w:szCs w:val="18"/>
        </w:rPr>
        <w:t>VaVaI</w:t>
      </w:r>
      <w:proofErr w:type="spellEnd"/>
      <w:r w:rsidRPr="000D64C0" w:rsidR="000D64C0">
        <w:rPr>
          <w:rFonts w:ascii="Times New Roman" w:hAnsi="Times New Roman" w:cs="Times New Roman"/>
          <w:sz w:val="18"/>
          <w:szCs w:val="18"/>
        </w:rPr>
        <w:t xml:space="preserve">, která byla schválena usnesením vlády ze dne 8. února 2019 č. 115. Viz též výsledky hodnocení RVVI podle Metodiky 17+ na národní úrovni (https://www.vyzkum.cz/FrontClanek.aspx?idsekce=847179 a https://hodnoceni18.rvvi.cz/www/biblio-obory) nebo vyhodnocení oborová publikační výkonnosti pracovišť výzkumných organizací v České republice v roce 2017 nástrojem CERGE „IDEA </w:t>
      </w:r>
      <w:proofErr w:type="spellStart"/>
      <w:r w:rsidRPr="000D64C0" w:rsidR="000D64C0">
        <w:rPr>
          <w:rFonts w:ascii="Times New Roman" w:hAnsi="Times New Roman" w:cs="Times New Roman"/>
          <w:sz w:val="18"/>
          <w:szCs w:val="18"/>
        </w:rPr>
        <w:t>think</w:t>
      </w:r>
      <w:proofErr w:type="spellEnd"/>
      <w:r w:rsidRPr="000D64C0" w:rsidR="000D64C0">
        <w:rPr>
          <w:rFonts w:ascii="Times New Roman" w:hAnsi="Times New Roman" w:cs="Times New Roman"/>
          <w:sz w:val="18"/>
          <w:szCs w:val="18"/>
        </w:rPr>
        <w:t>-tank“ (https://ideaapps.cerge-ei.cz/Performance2017/).</w:t>
      </w:r>
      <w:r w:rsidRPr="00992741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13">
    <w:p w:rsidRPr="00992741" w:rsidR="008A42B9" w:rsidP="00992741" w:rsidRDefault="008A42B9" w14:paraId="346C5F30" w14:textId="132AFAFE">
      <w:pPr>
        <w:pStyle w:val="Textpoznpodarou"/>
        <w:ind w:left="284" w:hanging="284"/>
        <w:jc w:val="both"/>
        <w:rPr>
          <w:rStyle w:val="Znakapoznpodarou"/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t>)</w:t>
      </w:r>
      <w:r>
        <w:tab/>
      </w:r>
      <w:r w:rsidRPr="00992741">
        <w:rPr>
          <w:rFonts w:ascii="Times New Roman" w:hAnsi="Times New Roman" w:cs="Times New Roman"/>
          <w:sz w:val="18"/>
          <w:szCs w:val="18"/>
        </w:rPr>
        <w:t xml:space="preserve">Zákon č. </w:t>
      </w:r>
      <w:r w:rsidRPr="002059FE">
        <w:rPr>
          <w:rFonts w:ascii="Times New Roman" w:hAnsi="Times New Roman" w:cs="Times New Roman"/>
          <w:sz w:val="18"/>
          <w:szCs w:val="18"/>
        </w:rPr>
        <w:t>130/2002 Sb., o podpoře výzkumu, experimentálního vývoje a inovací z veřejných prostředků a o změně některých souvisejících zákonů (zákon o podpoře výzkumu, experimentálního vývoje a inovací), ve znění pozdějších předpisů (dále jen zák. č. 130/2002 Sb.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992741">
        <w:rPr>
          <w:rStyle w:val="Znakapoznpodarou"/>
          <w:rFonts w:ascii="Times New Roman" w:hAnsi="Times New Roman" w:cs="Times New Roman"/>
        </w:rPr>
        <w:t xml:space="preserve"> </w:t>
      </w:r>
    </w:p>
  </w:footnote>
  <w:footnote w:id="14">
    <w:p w:rsidR="008A42B9" w:rsidP="00992741" w:rsidRDefault="008A42B9" w14:paraId="0D4CCE09" w14:textId="5393ADF6">
      <w:pPr>
        <w:pStyle w:val="Textpoznpodarou"/>
        <w:ind w:left="284" w:hanging="284"/>
        <w:jc w:val="both"/>
      </w:pPr>
      <w:r w:rsidRPr="00992741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92741">
        <w:rPr>
          <w:rFonts w:ascii="Times New Roman" w:hAnsi="Times New Roman" w:cs="Times New Roman"/>
          <w:sz w:val="18"/>
          <w:szCs w:val="18"/>
        </w:rPr>
        <w:t>)</w:t>
      </w:r>
      <w:r w:rsidRPr="00992741">
        <w:rPr>
          <w:rFonts w:ascii="Times New Roman" w:hAnsi="Times New Roman" w:cs="Times New Roman"/>
          <w:sz w:val="18"/>
          <w:szCs w:val="18"/>
        </w:rPr>
        <w:tab/>
      </w:r>
      <w:r w:rsidRPr="00992741">
        <w:rPr>
          <w:rFonts w:ascii="Times New Roman" w:hAnsi="Times New Roman" w:cs="Times New Roman"/>
          <w:sz w:val="18"/>
          <w:szCs w:val="18"/>
        </w:rPr>
        <w:t xml:space="preserve">Např. formou zřízení odborných vědeckých a dozorčích rad (International </w:t>
      </w:r>
      <w:proofErr w:type="spellStart"/>
      <w:r w:rsidRPr="00992741">
        <w:rPr>
          <w:rFonts w:ascii="Times New Roman" w:hAnsi="Times New Roman" w:cs="Times New Roman"/>
          <w:sz w:val="18"/>
          <w:szCs w:val="18"/>
        </w:rPr>
        <w:t>supervisory</w:t>
      </w:r>
      <w:proofErr w:type="spellEnd"/>
      <w:r w:rsidRPr="00992741">
        <w:rPr>
          <w:rFonts w:ascii="Times New Roman" w:hAnsi="Times New Roman" w:cs="Times New Roman"/>
          <w:sz w:val="18"/>
          <w:szCs w:val="18"/>
        </w:rPr>
        <w:t xml:space="preserve"> and </w:t>
      </w:r>
      <w:proofErr w:type="spellStart"/>
      <w:r w:rsidRPr="00992741">
        <w:rPr>
          <w:rFonts w:ascii="Times New Roman" w:hAnsi="Times New Roman" w:cs="Times New Roman"/>
          <w:sz w:val="18"/>
          <w:szCs w:val="18"/>
        </w:rPr>
        <w:t>advisory</w:t>
      </w:r>
      <w:proofErr w:type="spellEnd"/>
      <w:r w:rsidRPr="00992741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92741">
        <w:rPr>
          <w:rFonts w:ascii="Times New Roman" w:hAnsi="Times New Roman" w:cs="Times New Roman"/>
          <w:sz w:val="18"/>
          <w:szCs w:val="18"/>
        </w:rPr>
        <w:t>boards</w:t>
      </w:r>
      <w:proofErr w:type="spellEnd"/>
      <w:r w:rsidRPr="00992741">
        <w:rPr>
          <w:rFonts w:ascii="Times New Roman" w:hAnsi="Times New Roman" w:cs="Times New Roman"/>
          <w:sz w:val="18"/>
          <w:szCs w:val="18"/>
        </w:rPr>
        <w:t>).</w:t>
      </w:r>
    </w:p>
  </w:footnote>
  <w:footnote w:id="15">
    <w:p w:rsidRPr="00992741" w:rsidR="008A42B9" w:rsidP="00992741" w:rsidRDefault="008A42B9" w14:paraId="690560EE" w14:textId="7B0645ED">
      <w:pPr>
        <w:pStyle w:val="Textpoznpodarou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>)</w:t>
      </w:r>
      <w:r w:rsidRPr="00992741">
        <w:rPr>
          <w:rFonts w:ascii="Times New Roman" w:hAnsi="Times New Roman" w:cs="Times New Roman"/>
          <w:sz w:val="18"/>
          <w:szCs w:val="18"/>
        </w:rPr>
        <w:tab/>
      </w:r>
      <w:r w:rsidRPr="00992741">
        <w:rPr>
          <w:rFonts w:ascii="Times New Roman" w:hAnsi="Times New Roman" w:cs="Times New Roman"/>
          <w:sz w:val="18"/>
          <w:szCs w:val="18"/>
        </w:rPr>
        <w:t>Nařízení Komise (EU) č. 651/2014 ze dne 17. června 2014, kterým se v souladu s články 107 a 108 Smlouvy prohlašují určité kategorie podpory za slučitelné s vnitřním trhem, ve znění Nařízení Komise (EU) 2017/1084 ze dne 14. června 2017 a ve znění Nařízení Komise (EU) 2020/972 ze dne 2. července 2020, kterým se mění nařízení (EU) č. 1407/2013, pokud jde o jeho prodloužení, a nařízení (EU) č. 651/2014, pokud jde o jeho prodloužení a příslušné úpravy (Text s významem pro EHP) C/2020/4349, popř. jeho nove</w:t>
      </w:r>
      <w:r>
        <w:rPr>
          <w:rFonts w:ascii="Times New Roman" w:hAnsi="Times New Roman" w:cs="Times New Roman"/>
          <w:sz w:val="18"/>
          <w:szCs w:val="18"/>
        </w:rPr>
        <w:t>la</w:t>
      </w:r>
      <w:r w:rsidRPr="00992741">
        <w:rPr>
          <w:rFonts w:ascii="Times New Roman" w:hAnsi="Times New Roman" w:cs="Times New Roman"/>
          <w:sz w:val="18"/>
          <w:szCs w:val="18"/>
        </w:rPr>
        <w:t xml:space="preserve"> platn</w:t>
      </w:r>
      <w:r>
        <w:rPr>
          <w:rFonts w:ascii="Times New Roman" w:hAnsi="Times New Roman" w:cs="Times New Roman"/>
          <w:sz w:val="18"/>
          <w:szCs w:val="18"/>
        </w:rPr>
        <w:t>á</w:t>
      </w:r>
      <w:r w:rsidRPr="00992741">
        <w:rPr>
          <w:rFonts w:ascii="Times New Roman" w:hAnsi="Times New Roman" w:cs="Times New Roman"/>
          <w:sz w:val="18"/>
          <w:szCs w:val="18"/>
        </w:rPr>
        <w:t xml:space="preserve"> v době vyhlášení veřejné soutěže programu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B45AC">
        <w:rPr>
          <w:rFonts w:ascii="Times New Roman" w:hAnsi="Times New Roman" w:cs="Times New Roman"/>
          <w:sz w:val="18"/>
          <w:szCs w:val="18"/>
        </w:rPr>
        <w:t xml:space="preserve">(dále jen </w:t>
      </w:r>
      <w:r>
        <w:rPr>
          <w:rFonts w:ascii="Times New Roman" w:hAnsi="Times New Roman" w:cs="Times New Roman"/>
          <w:sz w:val="18"/>
          <w:szCs w:val="18"/>
        </w:rPr>
        <w:t>GBER</w:t>
      </w:r>
      <w:r w:rsidRPr="000B45AC">
        <w:rPr>
          <w:rFonts w:ascii="Times New Roman" w:hAnsi="Times New Roman" w:cs="Times New Roman"/>
          <w:sz w:val="18"/>
          <w:szCs w:val="18"/>
        </w:rPr>
        <w:t>)</w:t>
      </w:r>
      <w:r w:rsidRPr="00992741">
        <w:rPr>
          <w:rFonts w:ascii="Times New Roman" w:hAnsi="Times New Roman" w:cs="Times New Roman"/>
          <w:sz w:val="18"/>
          <w:szCs w:val="18"/>
        </w:rPr>
        <w:t xml:space="preserve">.  </w:t>
      </w:r>
    </w:p>
  </w:footnote>
  <w:footnote w:id="16">
    <w:p w:rsidR="008A42B9" w:rsidP="00A302AB" w:rsidRDefault="008A42B9" w14:paraId="417BC73D" w14:textId="7D3DF240">
      <w:pPr>
        <w:tabs>
          <w:tab w:val="left" w:pos="142"/>
        </w:tabs>
        <w:spacing w:after="0" w:line="240" w:lineRule="auto"/>
        <w:ind w:left="284" w:hanging="284"/>
        <w:rPr>
          <w:rFonts w:ascii="Calibri Light" w:hAnsi="Calibri Light" w:eastAsia="Calibri Light" w:cs="Calibri Light"/>
        </w:rPr>
      </w:pPr>
      <w:r w:rsidRPr="29310848">
        <w:rPr>
          <w:vertAlign w:val="superscript"/>
        </w:rPr>
        <w:footnoteRef/>
      </w:r>
      <w:r>
        <w:t>)</w:t>
      </w:r>
      <w:r w:rsidRPr="29310848">
        <w:rPr>
          <w:rFonts w:ascii="Calibri Light" w:hAnsi="Calibri Light" w:eastAsia="Calibri Light" w:cs="Calibri Light"/>
        </w:rPr>
        <w:t xml:space="preserve"> </w:t>
      </w:r>
      <w:r>
        <w:rPr>
          <w:rFonts w:ascii="Calibri Light" w:hAnsi="Calibri Light" w:eastAsia="Calibri Light" w:cs="Calibri Light"/>
        </w:rPr>
        <w:tab/>
      </w:r>
      <w:r w:rsidRPr="0085635B">
        <w:rPr>
          <w:rFonts w:ascii="Times New Roman" w:hAnsi="Times New Roman" w:cs="Times New Roman"/>
          <w:sz w:val="18"/>
          <w:szCs w:val="18"/>
        </w:rPr>
        <w:t>Sdělení Komise - Rámec pro státní podporu výzkumu, vývoje a inovací – Úřední věstník Evropské unie C 198</w:t>
      </w:r>
      <w:r w:rsidRPr="29310848">
        <w:rPr>
          <w:rFonts w:ascii="Calibri Light" w:hAnsi="Calibri Light" w:eastAsia="Calibri Light" w:cs="Calibri Light"/>
        </w:rPr>
        <w:t xml:space="preserve">, </w:t>
      </w:r>
      <w:r w:rsidRPr="0085635B">
        <w:rPr>
          <w:rFonts w:ascii="Times New Roman" w:hAnsi="Times New Roman" w:eastAsia="Calibri Light" w:cs="Times New Roman"/>
          <w:sz w:val="18"/>
          <w:szCs w:val="18"/>
        </w:rPr>
        <w:t>ze dne 27.</w:t>
      </w:r>
      <w:r w:rsidRPr="29310848">
        <w:rPr>
          <w:rFonts w:ascii="Calibri Light" w:hAnsi="Calibri Light" w:eastAsia="Calibri Light" w:cs="Calibri Light"/>
        </w:rPr>
        <w:t xml:space="preserve"> </w:t>
      </w:r>
      <w:r w:rsidRPr="0085635B">
        <w:rPr>
          <w:rFonts w:ascii="Times New Roman" w:hAnsi="Times New Roman" w:cs="Times New Roman"/>
          <w:sz w:val="18"/>
          <w:szCs w:val="18"/>
        </w:rPr>
        <w:t>června 2014</w:t>
      </w:r>
      <w:r w:rsidRPr="29310848">
        <w:rPr>
          <w:rFonts w:ascii="Calibri Light" w:hAnsi="Calibri Light" w:eastAsia="Calibri Light" w:cs="Calibri Light"/>
        </w:rPr>
        <w:t xml:space="preserve"> </w:t>
      </w:r>
    </w:p>
  </w:footnote>
  <w:footnote w:id="17">
    <w:p w:rsidRPr="00A302AB" w:rsidR="008A42B9" w:rsidRDefault="008A42B9" w14:paraId="342404AF" w14:textId="49B543E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A302A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A302AB">
        <w:rPr>
          <w:rFonts w:ascii="Times New Roman" w:hAnsi="Times New Roman" w:cs="Times New Roman"/>
          <w:sz w:val="18"/>
          <w:szCs w:val="18"/>
        </w:rPr>
        <w:t xml:space="preserve">) Např. </w:t>
      </w:r>
      <w:hyperlink w:history="1" r:id="rId12">
        <w:r w:rsidRPr="00A302AB">
          <w:rPr>
            <w:rStyle w:val="Hypertextovodkaz"/>
            <w:rFonts w:ascii="Times New Roman" w:hAnsi="Times New Roman" w:cs="Times New Roman"/>
            <w:sz w:val="18"/>
            <w:szCs w:val="18"/>
          </w:rPr>
          <w:t>https://www.mpg.de/institutes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, nebo </w:t>
      </w:r>
      <w:hyperlink w:history="1" r:id="rId13">
        <w:r w:rsidRPr="0098287C">
          <w:rPr>
            <w:rStyle w:val="Hypertextovodkaz"/>
            <w:rFonts w:ascii="Times New Roman" w:hAnsi="Times New Roman" w:cs="Times New Roman"/>
            <w:sz w:val="18"/>
            <w:szCs w:val="18"/>
          </w:rPr>
          <w:t>https://www.fraunhofer.de/en/institutes.html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18">
    <w:p w:rsidRPr="00992741" w:rsidR="008A42B9" w:rsidP="00992741" w:rsidRDefault="008A42B9" w14:paraId="0CB27CD7" w14:textId="132511D1">
      <w:pPr>
        <w:pStyle w:val="Textpoznpodarou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92741">
        <w:rPr>
          <w:rStyle w:val="Znakapoznpodarou"/>
          <w:sz w:val="18"/>
          <w:szCs w:val="18"/>
        </w:rPr>
        <w:footnoteRef/>
      </w:r>
      <w:r>
        <w:rPr>
          <w:sz w:val="18"/>
          <w:szCs w:val="18"/>
        </w:rPr>
        <w:t>)</w:t>
      </w:r>
      <w:r>
        <w:rPr>
          <w:sz w:val="18"/>
          <w:szCs w:val="18"/>
        </w:rPr>
        <w:tab/>
      </w:r>
      <w:r w:rsidRPr="00992741">
        <w:rPr>
          <w:rFonts w:ascii="Times New Roman" w:hAnsi="Times New Roman" w:cs="Times New Roman"/>
          <w:sz w:val="18"/>
          <w:szCs w:val="18"/>
        </w:rPr>
        <w:t xml:space="preserve">Kučera </w:t>
      </w:r>
      <w:proofErr w:type="spellStart"/>
      <w:r w:rsidRPr="00992741">
        <w:rPr>
          <w:rFonts w:ascii="Times New Roman" w:hAnsi="Times New Roman" w:cs="Times New Roman"/>
          <w:sz w:val="18"/>
          <w:szCs w:val="18"/>
        </w:rPr>
        <w:t>Zd</w:t>
      </w:r>
      <w:proofErr w:type="spellEnd"/>
      <w:r w:rsidRPr="00992741">
        <w:rPr>
          <w:rFonts w:ascii="Times New Roman" w:hAnsi="Times New Roman" w:cs="Times New Roman"/>
          <w:sz w:val="18"/>
          <w:szCs w:val="18"/>
        </w:rPr>
        <w:t xml:space="preserve">., Vondrák T., Pecha O.: Posouzení kapacit a zaměření zdravotního </w:t>
      </w:r>
      <w:proofErr w:type="spellStart"/>
      <w:r w:rsidRPr="00992741">
        <w:rPr>
          <w:rFonts w:ascii="Times New Roman" w:hAnsi="Times New Roman" w:cs="Times New Roman"/>
          <w:sz w:val="18"/>
          <w:szCs w:val="18"/>
        </w:rPr>
        <w:t>VaV</w:t>
      </w:r>
      <w:proofErr w:type="spellEnd"/>
      <w:r w:rsidRPr="00992741">
        <w:rPr>
          <w:rFonts w:ascii="Times New Roman" w:hAnsi="Times New Roman" w:cs="Times New Roman"/>
          <w:sz w:val="18"/>
          <w:szCs w:val="18"/>
        </w:rPr>
        <w:t xml:space="preserve"> na základě analýzy účasti v národních programech </w:t>
      </w:r>
      <w:proofErr w:type="spellStart"/>
      <w:r w:rsidRPr="00992741">
        <w:rPr>
          <w:rFonts w:ascii="Times New Roman" w:hAnsi="Times New Roman" w:cs="Times New Roman"/>
          <w:sz w:val="18"/>
          <w:szCs w:val="18"/>
        </w:rPr>
        <w:t>VaV</w:t>
      </w:r>
      <w:proofErr w:type="spellEnd"/>
      <w:r w:rsidRPr="00992741">
        <w:rPr>
          <w:rFonts w:ascii="Times New Roman" w:hAnsi="Times New Roman" w:cs="Times New Roman"/>
          <w:sz w:val="18"/>
          <w:szCs w:val="18"/>
        </w:rPr>
        <w:t xml:space="preserve"> a Horizontu 2020. Technologické centrum AV ČR, listopad 2020 </w:t>
      </w:r>
    </w:p>
  </w:footnote>
  <w:footnote w:id="19">
    <w:p w:rsidRPr="00992741" w:rsidR="008A42B9" w:rsidP="001343E7" w:rsidRDefault="008A42B9" w14:paraId="386489A4" w14:textId="65104DDA">
      <w:pPr>
        <w:pStyle w:val="Textpoznpodarou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92741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92741">
        <w:rPr>
          <w:rFonts w:ascii="Times New Roman" w:hAnsi="Times New Roman" w:cs="Times New Roman"/>
          <w:sz w:val="18"/>
          <w:szCs w:val="18"/>
        </w:rPr>
        <w:t>)</w:t>
      </w:r>
      <w:r w:rsidRPr="00992741">
        <w:rPr>
          <w:rFonts w:ascii="Times New Roman" w:hAnsi="Times New Roman" w:cs="Times New Roman"/>
          <w:sz w:val="18"/>
          <w:szCs w:val="18"/>
        </w:rPr>
        <w:tab/>
      </w:r>
      <w:r w:rsidRPr="00992741">
        <w:rPr>
          <w:rFonts w:ascii="Times New Roman" w:hAnsi="Times New Roman" w:cs="Times New Roman"/>
          <w:sz w:val="18"/>
          <w:szCs w:val="18"/>
        </w:rPr>
        <w:t xml:space="preserve">Statistická data o vývoji denního zemřelých v letech 2015 – 2020 ukazují výrazný nárůst v souvislosti s probíhající pandemií Covid-19 (ČSÚ. V roce 2020 zemřelo přes 129 tisíc obyvatel Česka. Dostupné z </w:t>
      </w:r>
      <w:hyperlink w:history="1" r:id="rId14">
        <w:r w:rsidRPr="00992741">
          <w:rPr>
            <w:rFonts w:ascii="Times New Roman" w:hAnsi="Times New Roman" w:cs="Times New Roman"/>
            <w:sz w:val="18"/>
            <w:szCs w:val="18"/>
          </w:rPr>
          <w:t>https://www.czso.cz/csu/czso/v-roce-2020-zemrelo-pres-129-tisic-obyvatel-</w:t>
        </w:r>
        <w:r w:rsidRPr="001343E7">
          <w:rPr>
            <w:rFonts w:ascii="Times New Roman" w:hAnsi="Times New Roman" w:cs="Times New Roman"/>
            <w:sz w:val="18"/>
            <w:szCs w:val="18"/>
          </w:rPr>
          <w:t xml:space="preserve"> </w:t>
        </w:r>
        <w:r w:rsidRPr="0097104E">
          <w:rPr>
            <w:rFonts w:ascii="Times New Roman" w:hAnsi="Times New Roman" w:cs="Times New Roman"/>
            <w:sz w:val="18"/>
            <w:szCs w:val="18"/>
          </w:rPr>
          <w:t xml:space="preserve">počtu </w:t>
        </w:r>
        <w:r w:rsidRPr="00992741">
          <w:rPr>
            <w:rFonts w:ascii="Times New Roman" w:hAnsi="Times New Roman" w:cs="Times New Roman"/>
            <w:sz w:val="18"/>
            <w:szCs w:val="18"/>
          </w:rPr>
          <w:t>ceska</w:t>
        </w:r>
      </w:hyperlink>
      <w:r w:rsidRPr="00992741">
        <w:rPr>
          <w:rFonts w:ascii="Times New Roman" w:hAnsi="Times New Roman" w:cs="Times New Roman"/>
          <w:sz w:val="18"/>
          <w:szCs w:val="18"/>
        </w:rPr>
        <w:t xml:space="preserve">); ČSÚ. Zemřelí podle seznamu příčin smrti, pohlaví a věku v ČR, krajích a okresech – 2010-2019. Dostupné z </w:t>
      </w:r>
      <w:hyperlink w:history="1" r:id="rId15">
        <w:r w:rsidRPr="00992741">
          <w:rPr>
            <w:rFonts w:ascii="Times New Roman" w:hAnsi="Times New Roman" w:cs="Times New Roman"/>
            <w:sz w:val="18"/>
            <w:szCs w:val="18"/>
          </w:rPr>
          <w:t>https://www.czso.cz/csu/czso/ceska-republika-podle-pohlavi-a-veku-2010-2019</w:t>
        </w:r>
      </w:hyperlink>
      <w:r w:rsidRPr="00992741">
        <w:rPr>
          <w:rFonts w:ascii="Times New Roman" w:hAnsi="Times New Roman" w:cs="Times New Roman"/>
          <w:sz w:val="18"/>
          <w:szCs w:val="18"/>
        </w:rPr>
        <w:t xml:space="preserve">; MZ ČR. Data o celkové mortalitě a o příčinách úmrtí pacientů s COVID-19. Dostupné z </w:t>
      </w:r>
      <w:hyperlink w:history="1" r:id="rId16">
        <w:r w:rsidRPr="00992741">
          <w:rPr>
            <w:rFonts w:ascii="Times New Roman" w:hAnsi="Times New Roman" w:cs="Times New Roman"/>
            <w:sz w:val="18"/>
            <w:szCs w:val="18"/>
          </w:rPr>
          <w:t>https://koronavirus.mzcr.cz/wp-content/uploads/2020/11/Data-o-celkov%C3%A9-mortalit%C4%9B-a-o-p%C5%99%C3%AD%C4%8Din%C3%A1ch-%C3%BAmrt%C3%AD-pacient%C5%AF-s-covid-19.pdf</w:t>
        </w:r>
      </w:hyperlink>
    </w:p>
  </w:footnote>
  <w:footnote w:id="20">
    <w:p w:rsidRPr="00992741" w:rsidR="008A42B9" w:rsidP="00992741" w:rsidRDefault="008A42B9" w14:paraId="650BF78F" w14:textId="31360172">
      <w:pPr>
        <w:pStyle w:val="Textpoznpodarou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92741">
        <w:rPr>
          <w:vertAlign w:val="superscript"/>
        </w:rPr>
        <w:footnoteRef/>
      </w:r>
      <w:r w:rsidRPr="00992741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ab/>
      </w:r>
      <w:r w:rsidRPr="00992741">
        <w:rPr>
          <w:rFonts w:ascii="Times New Roman" w:hAnsi="Times New Roman" w:cs="Times New Roman"/>
          <w:sz w:val="18"/>
          <w:szCs w:val="18"/>
        </w:rPr>
        <w:t>Studie Technologického centra AV ČR, únor 2020</w:t>
      </w:r>
      <w:r w:rsidR="002B2226">
        <w:rPr>
          <w:rFonts w:ascii="Times New Roman" w:hAnsi="Times New Roman" w:cs="Times New Roman"/>
          <w:sz w:val="18"/>
          <w:szCs w:val="18"/>
        </w:rPr>
        <w:t xml:space="preserve"> (www.tc.cz</w:t>
      </w:r>
    </w:p>
  </w:footnote>
  <w:footnote w:id="21">
    <w:p w:rsidRPr="002B2226" w:rsidR="002B2226" w:rsidP="002B2226" w:rsidRDefault="002B2226" w14:paraId="106DDD51" w14:textId="6CDA2AA6">
      <w:pPr>
        <w:pStyle w:val="Textpoznpodarou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2B2226">
        <w:rPr>
          <w:rFonts w:ascii="Times New Roman" w:hAnsi="Times New Roman" w:cs="Times New Roman"/>
          <w:sz w:val="18"/>
          <w:szCs w:val="18"/>
        </w:rPr>
        <w:t xml:space="preserve">Výroční „Analýza stavu </w:t>
      </w:r>
      <w:proofErr w:type="spellStart"/>
      <w:r w:rsidRPr="002B2226">
        <w:rPr>
          <w:rFonts w:ascii="Times New Roman" w:hAnsi="Times New Roman" w:cs="Times New Roman"/>
          <w:sz w:val="18"/>
          <w:szCs w:val="18"/>
        </w:rPr>
        <w:t>VaVaI</w:t>
      </w:r>
      <w:proofErr w:type="spellEnd"/>
      <w:r w:rsidRPr="002B2226">
        <w:rPr>
          <w:rFonts w:ascii="Times New Roman" w:hAnsi="Times New Roman" w:cs="Times New Roman"/>
          <w:sz w:val="18"/>
          <w:szCs w:val="18"/>
        </w:rPr>
        <w:t xml:space="preserve"> v ČR a jejich srovnání se zahraničím“, předkládaná RVVI vládě pro informaci lednu 2019 (https://www.vyzkum.cz/FrontClanek.aspx?idsekce=677142 ) nebo Zpráva o hodnocení plnění opatření NP </w:t>
      </w:r>
      <w:proofErr w:type="spellStart"/>
      <w:r w:rsidRPr="002B2226">
        <w:rPr>
          <w:rFonts w:ascii="Times New Roman" w:hAnsi="Times New Roman" w:cs="Times New Roman"/>
          <w:sz w:val="18"/>
          <w:szCs w:val="18"/>
        </w:rPr>
        <w:t>VaVaI</w:t>
      </w:r>
      <w:proofErr w:type="spellEnd"/>
      <w:r w:rsidRPr="002B2226">
        <w:rPr>
          <w:rFonts w:ascii="Times New Roman" w:hAnsi="Times New Roman" w:cs="Times New Roman"/>
          <w:sz w:val="18"/>
          <w:szCs w:val="18"/>
        </w:rPr>
        <w:t>, která byla schválena usnesením vlády ze dne 8. února 2019, Viz též výsledky hodnocení RVVI podle Metodiky 17+ na národní úrovni (</w:t>
      </w:r>
      <w:hyperlink w:history="1" r:id="rId17">
        <w:r w:rsidRPr="002B2226">
          <w:rPr>
            <w:rFonts w:ascii="Times New Roman" w:hAnsi="Times New Roman" w:cs="Times New Roman"/>
          </w:rPr>
          <w:t>https://www.vyzkum.cz/FrontClanek.aspx?idsekce=847179</w:t>
        </w:r>
      </w:hyperlink>
      <w:r w:rsidRPr="002B2226">
        <w:rPr>
          <w:rFonts w:ascii="Times New Roman" w:hAnsi="Times New Roman" w:cs="Times New Roman"/>
          <w:sz w:val="18"/>
          <w:szCs w:val="18"/>
        </w:rPr>
        <w:t xml:space="preserve"> a https://hodnoceni18.rvvi.cz/www/biblio-obory) nebo vyhodnocení oborová publikační výkonnosti pracovišť výzkumných organizací v České republice v roce 2017 nástrojem CERGE „IDEA </w:t>
      </w:r>
      <w:proofErr w:type="spellStart"/>
      <w:r w:rsidRPr="002B2226">
        <w:rPr>
          <w:rFonts w:ascii="Times New Roman" w:hAnsi="Times New Roman" w:cs="Times New Roman"/>
          <w:sz w:val="18"/>
          <w:szCs w:val="18"/>
        </w:rPr>
        <w:t>think</w:t>
      </w:r>
      <w:proofErr w:type="spellEnd"/>
      <w:r w:rsidRPr="002B2226">
        <w:rPr>
          <w:rFonts w:ascii="Times New Roman" w:hAnsi="Times New Roman" w:cs="Times New Roman"/>
          <w:sz w:val="18"/>
          <w:szCs w:val="18"/>
        </w:rPr>
        <w:t>-tank“ (</w:t>
      </w:r>
      <w:hyperlink w:history="1" r:id="rId18">
        <w:r w:rsidRPr="002B2226">
          <w:rPr>
            <w:rFonts w:ascii="Times New Roman" w:hAnsi="Times New Roman" w:cs="Times New Roman"/>
          </w:rPr>
          <w:t>https://ideaapps.cerge-ei.cz/Performance2017/</w:t>
        </w:r>
      </w:hyperlink>
      <w:r w:rsidRPr="002B2226">
        <w:rPr>
          <w:rFonts w:ascii="Times New Roman" w:hAnsi="Times New Roman" w:cs="Times New Roman"/>
          <w:sz w:val="18"/>
          <w:szCs w:val="18"/>
        </w:rPr>
        <w:t xml:space="preserve">), Evaluace OP VVV (2018) - Hodnocení posilování kapacit pro kvalitní výzkum, rozvoj VŠ a lidských zdrojů pro </w:t>
      </w:r>
      <w:proofErr w:type="spellStart"/>
      <w:r w:rsidRPr="002B2226">
        <w:rPr>
          <w:rFonts w:ascii="Times New Roman" w:hAnsi="Times New Roman" w:cs="Times New Roman"/>
          <w:sz w:val="18"/>
          <w:szCs w:val="18"/>
        </w:rPr>
        <w:t>VaV</w:t>
      </w:r>
      <w:proofErr w:type="spellEnd"/>
      <w:r w:rsidRPr="002B2226">
        <w:rPr>
          <w:rFonts w:ascii="Times New Roman" w:hAnsi="Times New Roman" w:cs="Times New Roman"/>
          <w:sz w:val="18"/>
          <w:szCs w:val="18"/>
        </w:rPr>
        <w:t>, (</w:t>
      </w:r>
      <w:hyperlink w:history="1" r:id="rId19">
        <w:r w:rsidRPr="002B2226">
          <w:rPr>
            <w:rFonts w:ascii="Times New Roman" w:hAnsi="Times New Roman" w:cs="Times New Roman"/>
          </w:rPr>
          <w:t>https://opvvv.msmt.cz/balicek-dokumentu/vyhodnoceni-pokryti-podporovanych-aktivit-prioritni-osy-1-a-2-vyzvami-operacniho-programu-vyzkum-vyvoj-a-vzdelavani.htm</w:t>
        </w:r>
      </w:hyperlink>
      <w:r w:rsidRPr="002B2226">
        <w:rPr>
          <w:rFonts w:ascii="Times New Roman" w:hAnsi="Times New Roman" w:cs="Times New Roman"/>
          <w:sz w:val="18"/>
          <w:szCs w:val="18"/>
        </w:rPr>
        <w:t>) nebo (</w:t>
      </w:r>
      <w:hyperlink w:history="1" r:id="rId20">
        <w:r w:rsidRPr="002B2226">
          <w:rPr>
            <w:rFonts w:ascii="Times New Roman" w:hAnsi="Times New Roman" w:cs="Times New Roman"/>
          </w:rPr>
          <w:t>https://opvvv.msmt.cz/balicek-dokumentu/vyhodnoceni-vyzvy-rozvoj-kapacit-pro-vav.htm</w:t>
        </w:r>
      </w:hyperlink>
      <w:r w:rsidRPr="002B2226">
        <w:rPr>
          <w:rFonts w:ascii="Times New Roman" w:hAnsi="Times New Roman" w:cs="Times New Roman"/>
          <w:sz w:val="18"/>
          <w:szCs w:val="18"/>
        </w:rPr>
        <w:t>), statistiky ČSÚ (www.csu.cz) .</w:t>
      </w:r>
    </w:p>
  </w:footnote>
  <w:footnote w:id="22">
    <w:p w:rsidRPr="00992741" w:rsidR="008A42B9" w:rsidP="00992741" w:rsidRDefault="008A42B9" w14:paraId="1725251C" w14:textId="0897CB5D">
      <w:pPr>
        <w:pStyle w:val="Textpoznpodarou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92741">
        <w:rPr>
          <w:rFonts w:ascii="Times New Roman" w:hAnsi="Times New Roman" w:cs="Times New Roman"/>
          <w:vertAlign w:val="superscript"/>
        </w:rPr>
        <w:footnoteRef/>
      </w:r>
      <w:r w:rsidRPr="00992741">
        <w:rPr>
          <w:rFonts w:ascii="Times New Roman" w:hAnsi="Times New Roman" w:cs="Times New Roman"/>
          <w:sz w:val="18"/>
          <w:szCs w:val="18"/>
        </w:rPr>
        <w:t>)</w:t>
      </w:r>
      <w:r w:rsidRPr="00992741">
        <w:rPr>
          <w:rFonts w:ascii="Times New Roman" w:hAnsi="Times New Roman" w:cs="Times New Roman"/>
          <w:sz w:val="18"/>
          <w:szCs w:val="18"/>
        </w:rPr>
        <w:tab/>
      </w:r>
      <w:r w:rsidRPr="00992741">
        <w:rPr>
          <w:rFonts w:ascii="Times New Roman" w:hAnsi="Times New Roman" w:cs="Times New Roman"/>
          <w:sz w:val="18"/>
          <w:szCs w:val="18"/>
        </w:rPr>
        <w:t xml:space="preserve">Kučera </w:t>
      </w:r>
      <w:proofErr w:type="spellStart"/>
      <w:r w:rsidRPr="00992741">
        <w:rPr>
          <w:rFonts w:ascii="Times New Roman" w:hAnsi="Times New Roman" w:cs="Times New Roman"/>
          <w:sz w:val="18"/>
          <w:szCs w:val="18"/>
        </w:rPr>
        <w:t>Zd</w:t>
      </w:r>
      <w:proofErr w:type="spellEnd"/>
      <w:r w:rsidRPr="00992741">
        <w:rPr>
          <w:rFonts w:ascii="Times New Roman" w:hAnsi="Times New Roman" w:cs="Times New Roman"/>
          <w:sz w:val="18"/>
          <w:szCs w:val="18"/>
        </w:rPr>
        <w:t xml:space="preserve">., Vondrák T., Pecha O.: </w:t>
      </w:r>
      <w:proofErr w:type="spellStart"/>
      <w:r w:rsidRPr="00992741">
        <w:rPr>
          <w:rFonts w:ascii="Times New Roman" w:hAnsi="Times New Roman" w:cs="Times New Roman"/>
          <w:sz w:val="18"/>
          <w:szCs w:val="18"/>
        </w:rPr>
        <w:t>Ibid</w:t>
      </w:r>
      <w:proofErr w:type="spellEnd"/>
      <w:r w:rsidRPr="00992741">
        <w:rPr>
          <w:rFonts w:ascii="Times New Roman" w:hAnsi="Times New Roman" w:cs="Times New Roman"/>
          <w:sz w:val="18"/>
          <w:szCs w:val="18"/>
        </w:rPr>
        <w:t>, Technologické centrum AV ČR.</w:t>
      </w:r>
    </w:p>
  </w:footnote>
  <w:footnote w:id="23">
    <w:p w:rsidRPr="000662EA" w:rsidR="008A42B9" w:rsidP="002B2226" w:rsidRDefault="008A42B9" w14:paraId="7022D543" w14:textId="1B456B96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>)</w:t>
      </w:r>
      <w:r>
        <w:tab/>
      </w:r>
      <w:r w:rsidRPr="002B2226">
        <w:rPr>
          <w:rFonts w:ascii="Times New Roman" w:hAnsi="Times New Roman" w:eastAsia="Times New Roman" w:cs="Times New Roman"/>
          <w:iCs/>
          <w:color w:val="auto"/>
          <w:sz w:val="18"/>
          <w:szCs w:val="18"/>
        </w:rPr>
        <w:t>Komponenta nepodpoří b</w:t>
      </w:r>
      <w:r w:rsidRPr="002B2226">
        <w:rPr>
          <w:rFonts w:ascii="Times New Roman" w:hAnsi="Times New Roman" w:eastAsia="Times New Roman" w:cs="Times New Roman"/>
          <w:color w:val="auto"/>
          <w:sz w:val="18"/>
          <w:szCs w:val="18"/>
        </w:rPr>
        <w:t xml:space="preserve">udování zcela nové výzkumné kapacity tzv. “na zelené louce“, bez </w:t>
      </w:r>
      <w:r>
        <w:rPr>
          <w:rFonts w:ascii="Times New Roman" w:hAnsi="Times New Roman" w:eastAsia="Times New Roman" w:cs="Times New Roman"/>
          <w:color w:val="auto"/>
          <w:sz w:val="18"/>
          <w:szCs w:val="18"/>
        </w:rPr>
        <w:t xml:space="preserve">zajištěných vazeb a </w:t>
      </w:r>
      <w:r w:rsidRPr="002B2226">
        <w:rPr>
          <w:rFonts w:ascii="Times New Roman" w:hAnsi="Times New Roman" w:eastAsia="Times New Roman" w:cs="Times New Roman"/>
          <w:color w:val="auto"/>
          <w:sz w:val="18"/>
          <w:szCs w:val="18"/>
        </w:rPr>
        <w:t>integrace ve</w:t>
      </w:r>
      <w:r>
        <w:rPr>
          <w:rFonts w:ascii="Times New Roman" w:hAnsi="Times New Roman" w:eastAsia="Times New Roman" w:cs="Times New Roman"/>
          <w:color w:val="auto"/>
          <w:sz w:val="18"/>
          <w:szCs w:val="18"/>
        </w:rPr>
        <w:t> </w:t>
      </w:r>
      <w:r w:rsidRPr="002B2226">
        <w:rPr>
          <w:rFonts w:ascii="Times New Roman" w:hAnsi="Times New Roman" w:eastAsia="Times New Roman" w:cs="Times New Roman"/>
          <w:color w:val="auto"/>
          <w:sz w:val="18"/>
          <w:szCs w:val="18"/>
        </w:rPr>
        <w:t xml:space="preserve">stávajícím systému </w:t>
      </w:r>
      <w:proofErr w:type="spellStart"/>
      <w:r w:rsidRPr="002B2226">
        <w:rPr>
          <w:rFonts w:ascii="Times New Roman" w:hAnsi="Times New Roman" w:eastAsia="Times New Roman" w:cs="Times New Roman"/>
          <w:color w:val="auto"/>
          <w:sz w:val="18"/>
          <w:szCs w:val="18"/>
        </w:rPr>
        <w:t>VaVaI</w:t>
      </w:r>
      <w:proofErr w:type="spellEnd"/>
      <w:r w:rsidRPr="002B2226">
        <w:rPr>
          <w:rFonts w:ascii="Times New Roman" w:hAnsi="Times New Roman" w:eastAsia="Times New Roman" w:cs="Times New Roman"/>
          <w:color w:val="auto"/>
          <w:sz w:val="18"/>
          <w:szCs w:val="18"/>
        </w:rPr>
        <w:t xml:space="preserve"> v ČR, která by byla novou zátěží pro státní rozpočet ČR.</w:t>
      </w:r>
    </w:p>
  </w:footnote>
  <w:footnote w:id="24">
    <w:p w:rsidR="008A42B9" w:rsidP="00CE2748" w:rsidRDefault="008A42B9" w14:paraId="0A3DD7E3" w14:textId="09D3F9DD">
      <w:pPr>
        <w:pStyle w:val="Textpoznpodarou"/>
      </w:pPr>
      <w:r>
        <w:rPr>
          <w:rStyle w:val="Znakapoznpodarou"/>
        </w:rPr>
        <w:footnoteRef/>
      </w:r>
      <w:r>
        <w:t xml:space="preserve">) </w:t>
      </w:r>
      <w:r w:rsidRPr="00C64161">
        <w:rPr>
          <w:rFonts w:ascii="Times New Roman" w:hAnsi="Times New Roman" w:cs="Times New Roman"/>
          <w:sz w:val="18"/>
          <w:szCs w:val="18"/>
        </w:rPr>
        <w:t xml:space="preserve">Např. </w:t>
      </w:r>
      <w:proofErr w:type="spellStart"/>
      <w:r>
        <w:rPr>
          <w:rFonts w:ascii="Times New Roman" w:hAnsi="Times New Roman" w:cs="Times New Roman"/>
          <w:sz w:val="18"/>
          <w:szCs w:val="18"/>
        </w:rPr>
        <w:t>Pasachoff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, E.: </w:t>
      </w:r>
      <w:r w:rsidRPr="00C64161">
        <w:rPr>
          <w:rFonts w:ascii="Times New Roman" w:hAnsi="Times New Roman" w:cs="Times New Roman"/>
          <w:sz w:val="18"/>
          <w:szCs w:val="18"/>
        </w:rPr>
        <w:t>TWO CHEERS FOR EVIDENCE: LAW, RESEARCH, AND VALUES IN EDUCATION POLICYMAKING AND BEYOND;</w:t>
      </w:r>
      <w:r>
        <w:rPr>
          <w:rFonts w:ascii="Times New Roman" w:hAnsi="Times New Roman" w:cs="Times New Roman"/>
          <w:sz w:val="18"/>
          <w:szCs w:val="18"/>
        </w:rPr>
        <w:t xml:space="preserve"> In</w:t>
      </w:r>
      <w:r w:rsidRPr="00C64161">
        <w:rPr>
          <w:rFonts w:ascii="Times New Roman" w:hAnsi="Times New Roman" w:cs="Times New Roman"/>
          <w:sz w:val="18"/>
          <w:szCs w:val="18"/>
        </w:rPr>
        <w:t xml:space="preserve">: Columbia </w:t>
      </w:r>
      <w:proofErr w:type="spellStart"/>
      <w:r w:rsidRPr="00C64161">
        <w:rPr>
          <w:rFonts w:ascii="Times New Roman" w:hAnsi="Times New Roman" w:cs="Times New Roman"/>
          <w:sz w:val="18"/>
          <w:szCs w:val="18"/>
        </w:rPr>
        <w:t>Law</w:t>
      </w:r>
      <w:proofErr w:type="spellEnd"/>
      <w:r w:rsidRPr="00C64161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64161">
        <w:rPr>
          <w:rFonts w:ascii="Times New Roman" w:hAnsi="Times New Roman" w:cs="Times New Roman"/>
          <w:sz w:val="18"/>
          <w:szCs w:val="18"/>
        </w:rPr>
        <w:t>Review</w:t>
      </w:r>
      <w:proofErr w:type="spellEnd"/>
      <w:r w:rsidRPr="00C64161">
        <w:rPr>
          <w:rFonts w:ascii="Times New Roman" w:hAnsi="Times New Roman" w:cs="Times New Roman"/>
          <w:sz w:val="18"/>
          <w:szCs w:val="18"/>
        </w:rPr>
        <w:t>, NOVEMBER 2017, Vol. 117, No. 7, pp. 1933-1972.</w:t>
      </w:r>
    </w:p>
  </w:footnote>
  <w:footnote w:id="25">
    <w:p w:rsidRPr="00484CAD" w:rsidR="008A42B9" w:rsidP="00CE2748" w:rsidRDefault="008A42B9" w14:paraId="018FE29B" w14:textId="42F6511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) </w:t>
      </w:r>
      <w:r w:rsidRPr="00444170">
        <w:rPr>
          <w:rFonts w:ascii="Times New Roman" w:hAnsi="Times New Roman" w:cs="Times New Roman"/>
          <w:sz w:val="18"/>
          <w:szCs w:val="18"/>
        </w:rPr>
        <w:t xml:space="preserve">Strategický rámec ČR 2030 identifikuje nedostatečné využívání evidence </w:t>
      </w:r>
      <w:proofErr w:type="spellStart"/>
      <w:r w:rsidRPr="00444170">
        <w:rPr>
          <w:rFonts w:ascii="Times New Roman" w:hAnsi="Times New Roman" w:cs="Times New Roman"/>
          <w:sz w:val="18"/>
          <w:szCs w:val="18"/>
        </w:rPr>
        <w:t>based</w:t>
      </w:r>
      <w:proofErr w:type="spellEnd"/>
      <w:r w:rsidRPr="0044417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44170">
        <w:rPr>
          <w:rFonts w:ascii="Times New Roman" w:hAnsi="Times New Roman" w:cs="Times New Roman"/>
          <w:sz w:val="18"/>
          <w:szCs w:val="18"/>
        </w:rPr>
        <w:t>policy</w:t>
      </w:r>
      <w:proofErr w:type="spellEnd"/>
      <w:r w:rsidRPr="00444170">
        <w:rPr>
          <w:rFonts w:ascii="Times New Roman" w:hAnsi="Times New Roman" w:cs="Times New Roman"/>
          <w:sz w:val="18"/>
          <w:szCs w:val="18"/>
        </w:rPr>
        <w:t xml:space="preserve"> přístupu v rámci SWOT analýzy. </w:t>
      </w:r>
      <w:r w:rsidRPr="00B820EF">
        <w:rPr>
          <w:rFonts w:ascii="Times New Roman" w:hAnsi="Times New Roman" w:cs="Times New Roman"/>
          <w:sz w:val="18"/>
          <w:szCs w:val="18"/>
        </w:rPr>
        <w:t>Strategický rámec Česká republika 2030 [online]. Praha: Úřad vlády České republiky, Odbor pro udržitelný rozvoj, 2017 [cit. 2020-08-03]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44170">
        <w:rPr>
          <w:rFonts w:ascii="Times New Roman" w:hAnsi="Times New Roman" w:cs="Times New Roman"/>
          <w:sz w:val="18"/>
          <w:szCs w:val="18"/>
        </w:rPr>
        <w:t xml:space="preserve">s. 23  </w:t>
      </w:r>
    </w:p>
  </w:footnote>
  <w:footnote w:id="26">
    <w:p w:rsidRPr="00042058" w:rsidR="008A42B9" w:rsidP="00CE2748" w:rsidRDefault="008A42B9" w14:paraId="07F4FE32" w14:textId="3D6C74B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) </w:t>
      </w:r>
      <w:r w:rsidRPr="00042058">
        <w:rPr>
          <w:rFonts w:ascii="Times New Roman" w:hAnsi="Times New Roman" w:cs="Times New Roman"/>
          <w:sz w:val="18"/>
          <w:szCs w:val="18"/>
        </w:rPr>
        <w:t xml:space="preserve">A </w:t>
      </w:r>
      <w:proofErr w:type="spellStart"/>
      <w:r w:rsidRPr="00042058">
        <w:rPr>
          <w:rFonts w:ascii="Times New Roman" w:hAnsi="Times New Roman" w:cs="Times New Roman"/>
          <w:sz w:val="18"/>
          <w:szCs w:val="18"/>
        </w:rPr>
        <w:t>glossary</w:t>
      </w:r>
      <w:proofErr w:type="spellEnd"/>
      <w:r w:rsidRPr="0004205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42058">
        <w:rPr>
          <w:rFonts w:ascii="Times New Roman" w:hAnsi="Times New Roman" w:cs="Times New Roman"/>
          <w:sz w:val="18"/>
          <w:szCs w:val="18"/>
        </w:rPr>
        <w:t>of</w:t>
      </w:r>
      <w:proofErr w:type="spellEnd"/>
      <w:r w:rsidRPr="0004205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42058">
        <w:rPr>
          <w:rFonts w:ascii="Times New Roman" w:hAnsi="Times New Roman" w:cs="Times New Roman"/>
          <w:sz w:val="18"/>
          <w:szCs w:val="18"/>
        </w:rPr>
        <w:t>theories</w:t>
      </w:r>
      <w:proofErr w:type="spellEnd"/>
      <w:r w:rsidRPr="0004205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42058">
        <w:rPr>
          <w:rFonts w:ascii="Times New Roman" w:hAnsi="Times New Roman" w:cs="Times New Roman"/>
          <w:sz w:val="18"/>
          <w:szCs w:val="18"/>
        </w:rPr>
        <w:t>for</w:t>
      </w:r>
      <w:proofErr w:type="spellEnd"/>
      <w:r w:rsidRPr="0004205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42058">
        <w:rPr>
          <w:rFonts w:ascii="Times New Roman" w:hAnsi="Times New Roman" w:cs="Times New Roman"/>
          <w:sz w:val="18"/>
          <w:szCs w:val="18"/>
        </w:rPr>
        <w:t>understanding</w:t>
      </w:r>
      <w:proofErr w:type="spellEnd"/>
      <w:r w:rsidRPr="0004205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42058">
        <w:rPr>
          <w:rFonts w:ascii="Times New Roman" w:hAnsi="Times New Roman" w:cs="Times New Roman"/>
          <w:sz w:val="18"/>
          <w:szCs w:val="18"/>
        </w:rPr>
        <w:t>policymaking</w:t>
      </w:r>
      <w:proofErr w:type="spellEnd"/>
      <w:r w:rsidRPr="0004205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42058">
        <w:rPr>
          <w:rFonts w:ascii="Times New Roman" w:hAnsi="Times New Roman" w:cs="Times New Roman"/>
          <w:sz w:val="18"/>
          <w:szCs w:val="18"/>
        </w:rPr>
        <w:t>Author</w:t>
      </w:r>
      <w:proofErr w:type="spellEnd"/>
      <w:r w:rsidRPr="00042058">
        <w:rPr>
          <w:rFonts w:ascii="Times New Roman" w:hAnsi="Times New Roman" w:cs="Times New Roman"/>
          <w:sz w:val="18"/>
          <w:szCs w:val="18"/>
        </w:rPr>
        <w:t xml:space="preserve">(s): Katherine Elizabeth Smith and </w:t>
      </w:r>
      <w:proofErr w:type="spellStart"/>
      <w:r w:rsidRPr="00042058">
        <w:rPr>
          <w:rFonts w:ascii="Times New Roman" w:hAnsi="Times New Roman" w:cs="Times New Roman"/>
          <w:sz w:val="18"/>
          <w:szCs w:val="18"/>
        </w:rPr>
        <w:t>Srinivasa</w:t>
      </w:r>
      <w:proofErr w:type="spellEnd"/>
      <w:r w:rsidRPr="0004205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42058">
        <w:rPr>
          <w:rFonts w:ascii="Times New Roman" w:hAnsi="Times New Roman" w:cs="Times New Roman"/>
          <w:sz w:val="18"/>
          <w:szCs w:val="18"/>
        </w:rPr>
        <w:t>Vittal</w:t>
      </w:r>
      <w:proofErr w:type="spellEnd"/>
      <w:r w:rsidRPr="0004205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42058">
        <w:rPr>
          <w:rFonts w:ascii="Times New Roman" w:hAnsi="Times New Roman" w:cs="Times New Roman"/>
          <w:sz w:val="18"/>
          <w:szCs w:val="18"/>
        </w:rPr>
        <w:t>Katikireddi</w:t>
      </w:r>
      <w:proofErr w:type="spellEnd"/>
      <w:r w:rsidRPr="00042058"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Times New Roman" w:hAnsi="Times New Roman" w:cs="Times New Roman"/>
          <w:sz w:val="18"/>
          <w:szCs w:val="18"/>
        </w:rPr>
        <w:t>In</w:t>
      </w:r>
      <w:r w:rsidRPr="00042058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042058">
        <w:rPr>
          <w:rFonts w:ascii="Times New Roman" w:hAnsi="Times New Roman" w:cs="Times New Roman"/>
          <w:sz w:val="18"/>
          <w:szCs w:val="18"/>
        </w:rPr>
        <w:t>Journal</w:t>
      </w:r>
      <w:proofErr w:type="spellEnd"/>
      <w:r w:rsidRPr="0004205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42058">
        <w:rPr>
          <w:rFonts w:ascii="Times New Roman" w:hAnsi="Times New Roman" w:cs="Times New Roman"/>
          <w:sz w:val="18"/>
          <w:szCs w:val="18"/>
        </w:rPr>
        <w:t>of</w:t>
      </w:r>
      <w:proofErr w:type="spellEnd"/>
      <w:r w:rsidRPr="00042058">
        <w:rPr>
          <w:rFonts w:ascii="Times New Roman" w:hAnsi="Times New Roman" w:cs="Times New Roman"/>
          <w:sz w:val="18"/>
          <w:szCs w:val="18"/>
        </w:rPr>
        <w:t xml:space="preserve"> Epidemiology and </w:t>
      </w:r>
      <w:proofErr w:type="spellStart"/>
      <w:r w:rsidRPr="00042058">
        <w:rPr>
          <w:rFonts w:ascii="Times New Roman" w:hAnsi="Times New Roman" w:cs="Times New Roman"/>
          <w:sz w:val="18"/>
          <w:szCs w:val="18"/>
        </w:rPr>
        <w:t>Community</w:t>
      </w:r>
      <w:proofErr w:type="spellEnd"/>
      <w:r w:rsidRPr="0004205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42058">
        <w:rPr>
          <w:rFonts w:ascii="Times New Roman" w:hAnsi="Times New Roman" w:cs="Times New Roman"/>
          <w:sz w:val="18"/>
          <w:szCs w:val="18"/>
        </w:rPr>
        <w:t>Health</w:t>
      </w:r>
      <w:proofErr w:type="spellEnd"/>
      <w:r w:rsidRPr="00042058">
        <w:rPr>
          <w:rFonts w:ascii="Times New Roman" w:hAnsi="Times New Roman" w:cs="Times New Roman"/>
          <w:sz w:val="18"/>
          <w:szCs w:val="18"/>
        </w:rPr>
        <w:t xml:space="preserve"> (1979-), </w:t>
      </w:r>
      <w:proofErr w:type="spellStart"/>
      <w:r w:rsidRPr="00042058">
        <w:rPr>
          <w:rFonts w:ascii="Times New Roman" w:hAnsi="Times New Roman" w:cs="Times New Roman"/>
          <w:sz w:val="18"/>
          <w:szCs w:val="18"/>
        </w:rPr>
        <w:t>February</w:t>
      </w:r>
      <w:proofErr w:type="spellEnd"/>
      <w:r w:rsidRPr="00042058">
        <w:rPr>
          <w:rFonts w:ascii="Times New Roman" w:hAnsi="Times New Roman" w:cs="Times New Roman"/>
          <w:sz w:val="18"/>
          <w:szCs w:val="18"/>
        </w:rPr>
        <w:t xml:space="preserve"> 2013, Vol. 67, No. 2, pp. 198-202</w:t>
      </w:r>
      <w:r>
        <w:rPr>
          <w:rFonts w:ascii="Times New Roman" w:hAnsi="Times New Roman" w:cs="Times New Roman"/>
          <w:sz w:val="18"/>
          <w:szCs w:val="18"/>
        </w:rPr>
        <w:t xml:space="preserve">. K významu zpracování dat pro prevenci a fungování veřejného zdravotnictví, např. </w:t>
      </w:r>
      <w:proofErr w:type="spellStart"/>
      <w:r w:rsidRPr="00BE57F6">
        <w:rPr>
          <w:rFonts w:ascii="Times New Roman" w:hAnsi="Times New Roman" w:cs="Times New Roman"/>
          <w:sz w:val="18"/>
          <w:szCs w:val="18"/>
        </w:rPr>
        <w:t>Budd</w:t>
      </w:r>
      <w:proofErr w:type="spellEnd"/>
      <w:r w:rsidRPr="00BE57F6">
        <w:rPr>
          <w:rFonts w:ascii="Times New Roman" w:hAnsi="Times New Roman" w:cs="Times New Roman"/>
          <w:sz w:val="18"/>
          <w:szCs w:val="18"/>
        </w:rPr>
        <w:t xml:space="preserve">, J., Miller, B.S., </w:t>
      </w:r>
      <w:proofErr w:type="spellStart"/>
      <w:r w:rsidRPr="00BE57F6">
        <w:rPr>
          <w:rFonts w:ascii="Times New Roman" w:hAnsi="Times New Roman" w:cs="Times New Roman"/>
          <w:sz w:val="18"/>
          <w:szCs w:val="18"/>
        </w:rPr>
        <w:t>Manning</w:t>
      </w:r>
      <w:proofErr w:type="spellEnd"/>
      <w:r w:rsidRPr="00BE57F6">
        <w:rPr>
          <w:rFonts w:ascii="Times New Roman" w:hAnsi="Times New Roman" w:cs="Times New Roman"/>
          <w:sz w:val="18"/>
          <w:szCs w:val="18"/>
        </w:rPr>
        <w:t xml:space="preserve">, E.M. et al. Digital </w:t>
      </w:r>
      <w:proofErr w:type="spellStart"/>
      <w:r w:rsidRPr="00BE57F6">
        <w:rPr>
          <w:rFonts w:ascii="Times New Roman" w:hAnsi="Times New Roman" w:cs="Times New Roman"/>
          <w:sz w:val="18"/>
          <w:szCs w:val="18"/>
        </w:rPr>
        <w:t>technologies</w:t>
      </w:r>
      <w:proofErr w:type="spellEnd"/>
      <w:r w:rsidRPr="00BE57F6">
        <w:rPr>
          <w:rFonts w:ascii="Times New Roman" w:hAnsi="Times New Roman" w:cs="Times New Roman"/>
          <w:sz w:val="18"/>
          <w:szCs w:val="18"/>
        </w:rPr>
        <w:t xml:space="preserve"> in </w:t>
      </w:r>
      <w:proofErr w:type="spellStart"/>
      <w:r w:rsidRPr="00BE57F6">
        <w:rPr>
          <w:rFonts w:ascii="Times New Roman" w:hAnsi="Times New Roman" w:cs="Times New Roman"/>
          <w:sz w:val="18"/>
          <w:szCs w:val="18"/>
        </w:rPr>
        <w:t>the</w:t>
      </w:r>
      <w:proofErr w:type="spellEnd"/>
      <w:r w:rsidRPr="00BE57F6">
        <w:rPr>
          <w:rFonts w:ascii="Times New Roman" w:hAnsi="Times New Roman" w:cs="Times New Roman"/>
          <w:sz w:val="18"/>
          <w:szCs w:val="18"/>
        </w:rPr>
        <w:t xml:space="preserve"> public-</w:t>
      </w:r>
      <w:proofErr w:type="spellStart"/>
      <w:r w:rsidRPr="00BE57F6">
        <w:rPr>
          <w:rFonts w:ascii="Times New Roman" w:hAnsi="Times New Roman" w:cs="Times New Roman"/>
          <w:sz w:val="18"/>
          <w:szCs w:val="18"/>
        </w:rPr>
        <w:t>health</w:t>
      </w:r>
      <w:proofErr w:type="spellEnd"/>
      <w:r w:rsidRPr="00BE57F6">
        <w:rPr>
          <w:rFonts w:ascii="Times New Roman" w:hAnsi="Times New Roman" w:cs="Times New Roman"/>
          <w:sz w:val="18"/>
          <w:szCs w:val="18"/>
        </w:rPr>
        <w:t xml:space="preserve"> response to COVID-19. </w:t>
      </w:r>
      <w:proofErr w:type="spellStart"/>
      <w:r w:rsidRPr="00BE57F6">
        <w:rPr>
          <w:rFonts w:ascii="Times New Roman" w:hAnsi="Times New Roman" w:cs="Times New Roman"/>
          <w:sz w:val="18"/>
          <w:szCs w:val="18"/>
        </w:rPr>
        <w:t>Nat</w:t>
      </w:r>
      <w:proofErr w:type="spellEnd"/>
      <w:r w:rsidRPr="00BE57F6">
        <w:rPr>
          <w:rFonts w:ascii="Times New Roman" w:hAnsi="Times New Roman" w:cs="Times New Roman"/>
          <w:sz w:val="18"/>
          <w:szCs w:val="18"/>
        </w:rPr>
        <w:t xml:space="preserve"> Med 26, 1183–1192 (2020). https://doi.org/10.1038/s41591-020-1011-4</w:t>
      </w:r>
    </w:p>
  </w:footnote>
  <w:footnote w:id="27">
    <w:p w:rsidRPr="0010361B" w:rsidR="008A42B9" w:rsidP="00ED642D" w:rsidRDefault="008A42B9" w14:paraId="5CC88C3F" w14:textId="7060BC9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ED642D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>
        <w:rPr>
          <w:rFonts w:ascii="Times New Roman" w:hAnsi="Times New Roman" w:cs="Times New Roman"/>
          <w:sz w:val="18"/>
          <w:szCs w:val="18"/>
        </w:rPr>
        <w:t>)</w:t>
      </w:r>
      <w:r w:rsidRPr="00BE57F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Chapter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Title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Critic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advocate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enforcer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the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multiple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roles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of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academics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in public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policy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Chapter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Author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(s): John Paul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Catungal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Book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Title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Engaging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with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Policy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Practice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and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Publics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Book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Subtitle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Intersectionality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and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ImpactsBook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Editor(s): SARAH MARIE HALL, RALITSA HITEVA,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Published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by: Bristol University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Press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Policy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Press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>. (2020)</w:t>
      </w:r>
      <w:r>
        <w:rPr>
          <w:rFonts w:ascii="Times New Roman" w:hAnsi="Times New Roman" w:cs="Times New Roman"/>
          <w:sz w:val="18"/>
          <w:szCs w:val="18"/>
        </w:rPr>
        <w:t xml:space="preserve">. K významu interpretace zdravotnických dat v komunikačních strategiích např. </w:t>
      </w:r>
      <w:proofErr w:type="spellStart"/>
      <w:r w:rsidRPr="007A1C44">
        <w:rPr>
          <w:rFonts w:ascii="Times New Roman" w:hAnsi="Times New Roman" w:cs="Times New Roman"/>
          <w:sz w:val="18"/>
          <w:szCs w:val="18"/>
        </w:rPr>
        <w:t>Naeem</w:t>
      </w:r>
      <w:proofErr w:type="spellEnd"/>
      <w:r w:rsidRPr="007A1C44">
        <w:rPr>
          <w:rFonts w:ascii="Times New Roman" w:hAnsi="Times New Roman" w:cs="Times New Roman"/>
          <w:sz w:val="18"/>
          <w:szCs w:val="18"/>
        </w:rPr>
        <w:t xml:space="preserve">, S.B. and </w:t>
      </w:r>
      <w:proofErr w:type="spellStart"/>
      <w:r w:rsidRPr="007A1C44">
        <w:rPr>
          <w:rFonts w:ascii="Times New Roman" w:hAnsi="Times New Roman" w:cs="Times New Roman"/>
          <w:sz w:val="18"/>
          <w:szCs w:val="18"/>
        </w:rPr>
        <w:t>Bhatti</w:t>
      </w:r>
      <w:proofErr w:type="spellEnd"/>
      <w:r w:rsidRPr="007A1C44">
        <w:rPr>
          <w:rFonts w:ascii="Times New Roman" w:hAnsi="Times New Roman" w:cs="Times New Roman"/>
          <w:sz w:val="18"/>
          <w:szCs w:val="18"/>
        </w:rPr>
        <w:t xml:space="preserve">, R. (2020), </w:t>
      </w:r>
      <w:proofErr w:type="spellStart"/>
      <w:r w:rsidRPr="007A1C44">
        <w:rPr>
          <w:rFonts w:ascii="Times New Roman" w:hAnsi="Times New Roman" w:cs="Times New Roman"/>
          <w:sz w:val="18"/>
          <w:szCs w:val="18"/>
        </w:rPr>
        <w:t>The</w:t>
      </w:r>
      <w:proofErr w:type="spellEnd"/>
      <w:r w:rsidRPr="007A1C44">
        <w:rPr>
          <w:rFonts w:ascii="Times New Roman" w:hAnsi="Times New Roman" w:cs="Times New Roman"/>
          <w:sz w:val="18"/>
          <w:szCs w:val="18"/>
        </w:rPr>
        <w:t xml:space="preserve"> Covid‐19 ‘</w:t>
      </w:r>
      <w:proofErr w:type="spellStart"/>
      <w:r w:rsidRPr="007A1C44">
        <w:rPr>
          <w:rFonts w:ascii="Times New Roman" w:hAnsi="Times New Roman" w:cs="Times New Roman"/>
          <w:sz w:val="18"/>
          <w:szCs w:val="18"/>
        </w:rPr>
        <w:t>infodemic</w:t>
      </w:r>
      <w:proofErr w:type="spellEnd"/>
      <w:r w:rsidRPr="007A1C44">
        <w:rPr>
          <w:rFonts w:ascii="Times New Roman" w:hAnsi="Times New Roman" w:cs="Times New Roman"/>
          <w:sz w:val="18"/>
          <w:szCs w:val="18"/>
        </w:rPr>
        <w:t xml:space="preserve">’: a </w:t>
      </w:r>
      <w:proofErr w:type="spellStart"/>
      <w:r w:rsidRPr="007A1C44">
        <w:rPr>
          <w:rFonts w:ascii="Times New Roman" w:hAnsi="Times New Roman" w:cs="Times New Roman"/>
          <w:sz w:val="18"/>
          <w:szCs w:val="18"/>
        </w:rPr>
        <w:t>new</w:t>
      </w:r>
      <w:proofErr w:type="spellEnd"/>
      <w:r w:rsidRPr="007A1C44">
        <w:rPr>
          <w:rFonts w:ascii="Times New Roman" w:hAnsi="Times New Roman" w:cs="Times New Roman"/>
          <w:sz w:val="18"/>
          <w:szCs w:val="18"/>
        </w:rPr>
        <w:t xml:space="preserve"> front </w:t>
      </w:r>
      <w:proofErr w:type="spellStart"/>
      <w:r w:rsidRPr="007A1C44">
        <w:rPr>
          <w:rFonts w:ascii="Times New Roman" w:hAnsi="Times New Roman" w:cs="Times New Roman"/>
          <w:sz w:val="18"/>
          <w:szCs w:val="18"/>
        </w:rPr>
        <w:t>for</w:t>
      </w:r>
      <w:proofErr w:type="spellEnd"/>
      <w:r w:rsidRPr="007A1C4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7A1C44">
        <w:rPr>
          <w:rFonts w:ascii="Times New Roman" w:hAnsi="Times New Roman" w:cs="Times New Roman"/>
          <w:sz w:val="18"/>
          <w:szCs w:val="18"/>
        </w:rPr>
        <w:t>information</w:t>
      </w:r>
      <w:proofErr w:type="spellEnd"/>
      <w:r w:rsidRPr="007A1C4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7A1C44">
        <w:rPr>
          <w:rFonts w:ascii="Times New Roman" w:hAnsi="Times New Roman" w:cs="Times New Roman"/>
          <w:sz w:val="18"/>
          <w:szCs w:val="18"/>
        </w:rPr>
        <w:t>professionals</w:t>
      </w:r>
      <w:proofErr w:type="spellEnd"/>
      <w:r w:rsidRPr="007A1C44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7A1C44">
        <w:rPr>
          <w:rFonts w:ascii="Times New Roman" w:hAnsi="Times New Roman" w:cs="Times New Roman"/>
          <w:sz w:val="18"/>
          <w:szCs w:val="18"/>
        </w:rPr>
        <w:t>Health</w:t>
      </w:r>
      <w:proofErr w:type="spellEnd"/>
      <w:r w:rsidRPr="007A1C4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7A1C44">
        <w:rPr>
          <w:rFonts w:ascii="Times New Roman" w:hAnsi="Times New Roman" w:cs="Times New Roman"/>
          <w:sz w:val="18"/>
          <w:szCs w:val="18"/>
        </w:rPr>
        <w:t>Info</w:t>
      </w:r>
      <w:proofErr w:type="spellEnd"/>
      <w:r w:rsidRPr="007A1C4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7A1C44">
        <w:rPr>
          <w:rFonts w:ascii="Times New Roman" w:hAnsi="Times New Roman" w:cs="Times New Roman"/>
          <w:sz w:val="18"/>
          <w:szCs w:val="18"/>
        </w:rPr>
        <w:t>Libr</w:t>
      </w:r>
      <w:proofErr w:type="spellEnd"/>
      <w:r w:rsidRPr="007A1C44">
        <w:rPr>
          <w:rFonts w:ascii="Times New Roman" w:hAnsi="Times New Roman" w:cs="Times New Roman"/>
          <w:sz w:val="18"/>
          <w:szCs w:val="18"/>
        </w:rPr>
        <w:t xml:space="preserve"> J, 37: 233-239. </w:t>
      </w:r>
      <w:hyperlink w:history="1" r:id="rId21">
        <w:r w:rsidRPr="007A1C44">
          <w:rPr>
            <w:rFonts w:ascii="Times New Roman" w:hAnsi="Times New Roman" w:cs="Times New Roman"/>
            <w:sz w:val="18"/>
            <w:szCs w:val="18"/>
          </w:rPr>
          <w:t>https://doi.org/10.1111/hir.12311</w:t>
        </w:r>
      </w:hyperlink>
      <w:r w:rsidRPr="007A1C44">
        <w:rPr>
          <w:rFonts w:ascii="Times New Roman" w:hAnsi="Times New Roman" w:cs="Times New Roman"/>
          <w:sz w:val="18"/>
          <w:szCs w:val="18"/>
        </w:rPr>
        <w:t>.</w:t>
      </w:r>
    </w:p>
  </w:footnote>
  <w:footnote w:id="28">
    <w:p w:rsidRPr="0010361B" w:rsidR="008A42B9" w:rsidP="00ED642D" w:rsidRDefault="008A42B9" w14:paraId="14B92831" w14:textId="241C6523">
      <w:pPr>
        <w:pStyle w:val="Textpoznpodarou"/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)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The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lessons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of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failure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learning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and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blame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avoidance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in public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policy-making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Author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(s): Michael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Howlett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, Source: International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Political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Science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Review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/ Revue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internationale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de science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politique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, NOVEMBER 2012, Vol. 33, No. 5 (NOVEMBER 2012), pp. 539-555,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Published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by: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Sage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0361B">
        <w:rPr>
          <w:rFonts w:ascii="Times New Roman" w:hAnsi="Times New Roman" w:cs="Times New Roman"/>
          <w:sz w:val="18"/>
          <w:szCs w:val="18"/>
        </w:rPr>
        <w:t>Publications</w:t>
      </w:r>
      <w:proofErr w:type="spellEnd"/>
      <w:r w:rsidRPr="0010361B">
        <w:rPr>
          <w:rFonts w:ascii="Times New Roman" w:hAnsi="Times New Roman" w:cs="Times New Roman"/>
          <w:sz w:val="18"/>
          <w:szCs w:val="18"/>
        </w:rPr>
        <w:t>, Ltd</w:t>
      </w:r>
    </w:p>
  </w:footnote>
  <w:footnote w:id="29">
    <w:p w:rsidRPr="00B820EF" w:rsidR="008A42B9" w:rsidP="00ED642D" w:rsidRDefault="008A42B9" w14:paraId="1E478CC3" w14:textId="5E70AFFD">
      <w:pPr>
        <w:pStyle w:val="Textpoznpodarou"/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) </w:t>
      </w:r>
      <w:r w:rsidRPr="00B820EF">
        <w:rPr>
          <w:rFonts w:ascii="Times New Roman" w:hAnsi="Times New Roman" w:cs="Times New Roman"/>
          <w:sz w:val="18"/>
          <w:szCs w:val="18"/>
        </w:rPr>
        <w:t>Strategický rámec Česká republika 2030 [online]. Praha: Úřad vlády České republiky, Odbor pro udržitelný rozvoj, 2017 [cit. 2020-08-03]</w:t>
      </w:r>
      <w:r>
        <w:rPr>
          <w:rFonts w:ascii="Times New Roman" w:hAnsi="Times New Roman" w:cs="Times New Roman"/>
          <w:sz w:val="18"/>
          <w:szCs w:val="18"/>
        </w:rPr>
        <w:t>, s. 94.Tamtéž, Příloha 1, s. 201-202.</w:t>
      </w:r>
    </w:p>
  </w:footnote>
  <w:footnote w:id="30">
    <w:p w:rsidR="008A42B9" w:rsidP="00ED642D" w:rsidRDefault="008A42B9" w14:paraId="39EFC7B8" w14:textId="7F8ECE7E">
      <w:pPr>
        <w:pStyle w:val="Textpoznpodarou"/>
        <w:ind w:left="284" w:hanging="284"/>
      </w:pPr>
      <w:r>
        <w:rPr>
          <w:rStyle w:val="Znakapoznpodarou"/>
        </w:rPr>
        <w:footnoteRef/>
      </w:r>
      <w:r>
        <w:t xml:space="preserve">) </w:t>
      </w:r>
      <w:r w:rsidRPr="00B820EF">
        <w:rPr>
          <w:rFonts w:ascii="Times New Roman" w:hAnsi="Times New Roman" w:cs="Times New Roman"/>
          <w:sz w:val="18"/>
          <w:szCs w:val="18"/>
        </w:rPr>
        <w:t>Strategický rámec Česká republika 2030</w:t>
      </w:r>
      <w:r>
        <w:rPr>
          <w:rFonts w:ascii="Times New Roman" w:hAnsi="Times New Roman" w:cs="Times New Roman"/>
          <w:sz w:val="18"/>
          <w:szCs w:val="18"/>
        </w:rPr>
        <w:t>, Příloha 1, s. 201-202.</w:t>
      </w:r>
    </w:p>
  </w:footnote>
  <w:footnote w:id="31">
    <w:p w:rsidRPr="00992741" w:rsidR="008A42B9" w:rsidP="00992741" w:rsidRDefault="008A42B9" w14:paraId="055C97BA" w14:textId="6FAD3DFF">
      <w:pPr>
        <w:pStyle w:val="Textpoznpodarou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92741">
        <w:rPr>
          <w:rStyle w:val="Znakapoznpodarou"/>
          <w:rFonts w:ascii="Times New Roman" w:hAnsi="Times New Roman" w:cs="Times New Roman"/>
        </w:rPr>
        <w:footnoteRef/>
      </w:r>
      <w:r w:rsidRPr="00992741">
        <w:rPr>
          <w:rFonts w:ascii="Times New Roman" w:hAnsi="Times New Roman" w:cs="Times New Roman"/>
        </w:rPr>
        <w:t>)</w:t>
      </w:r>
      <w:r w:rsidRPr="00992741">
        <w:rPr>
          <w:rFonts w:ascii="Times New Roman" w:hAnsi="Times New Roman" w:cs="Times New Roman"/>
        </w:rPr>
        <w:tab/>
      </w:r>
      <w:r w:rsidRPr="00992741">
        <w:rPr>
          <w:rFonts w:ascii="Times New Roman" w:hAnsi="Times New Roman" w:cs="Times New Roman"/>
          <w:sz w:val="18"/>
          <w:szCs w:val="18"/>
        </w:rPr>
        <w:t>Například výzkumná studie „Analýza bariér a strategie podpory rovných příležitostí ve vědě/</w:t>
      </w:r>
      <w:proofErr w:type="spellStart"/>
      <w:r w:rsidRPr="00992741">
        <w:rPr>
          <w:rFonts w:ascii="Times New Roman" w:hAnsi="Times New Roman" w:cs="Times New Roman"/>
          <w:sz w:val="18"/>
          <w:szCs w:val="18"/>
        </w:rPr>
        <w:t>Analysis</w:t>
      </w:r>
      <w:proofErr w:type="spellEnd"/>
      <w:r w:rsidRPr="00992741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92741">
        <w:rPr>
          <w:rFonts w:ascii="Times New Roman" w:hAnsi="Times New Roman" w:cs="Times New Roman"/>
          <w:sz w:val="18"/>
          <w:szCs w:val="18"/>
        </w:rPr>
        <w:t>of</w:t>
      </w:r>
      <w:proofErr w:type="spellEnd"/>
      <w:r w:rsidRPr="00992741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92741">
        <w:rPr>
          <w:rFonts w:ascii="Times New Roman" w:hAnsi="Times New Roman" w:cs="Times New Roman"/>
          <w:sz w:val="18"/>
          <w:szCs w:val="18"/>
        </w:rPr>
        <w:t>barriers</w:t>
      </w:r>
      <w:proofErr w:type="spellEnd"/>
      <w:r w:rsidRPr="00992741">
        <w:rPr>
          <w:rFonts w:ascii="Times New Roman" w:hAnsi="Times New Roman" w:cs="Times New Roman"/>
          <w:sz w:val="18"/>
          <w:szCs w:val="18"/>
        </w:rPr>
        <w:t xml:space="preserve"> and </w:t>
      </w:r>
      <w:proofErr w:type="spellStart"/>
      <w:r w:rsidRPr="00992741">
        <w:rPr>
          <w:rFonts w:ascii="Times New Roman" w:hAnsi="Times New Roman" w:cs="Times New Roman"/>
          <w:sz w:val="18"/>
          <w:szCs w:val="18"/>
        </w:rPr>
        <w:t>strategy</w:t>
      </w:r>
      <w:proofErr w:type="spellEnd"/>
      <w:r w:rsidRPr="00992741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92741">
        <w:rPr>
          <w:rFonts w:ascii="Times New Roman" w:hAnsi="Times New Roman" w:cs="Times New Roman"/>
          <w:sz w:val="18"/>
          <w:szCs w:val="18"/>
        </w:rPr>
        <w:t>promoting</w:t>
      </w:r>
      <w:proofErr w:type="spellEnd"/>
      <w:r w:rsidRPr="00992741">
        <w:rPr>
          <w:rFonts w:ascii="Times New Roman" w:hAnsi="Times New Roman" w:cs="Times New Roman"/>
          <w:sz w:val="18"/>
          <w:szCs w:val="18"/>
        </w:rPr>
        <w:t xml:space="preserve"> gender (2017–2018)“viz </w:t>
      </w:r>
      <w:hyperlink w:history="1" r:id="rId22">
        <w:r w:rsidRPr="00992741">
          <w:rPr>
            <w:rStyle w:val="Hypertextovodkaz"/>
            <w:rFonts w:ascii="Times New Roman" w:hAnsi="Times New Roman" w:cs="Times New Roman"/>
            <w:sz w:val="18"/>
            <w:szCs w:val="18"/>
          </w:rPr>
          <w:t>https://genderaveda.cz/vyzkum</w:t>
        </w:r>
      </w:hyperlink>
      <w:r w:rsidRPr="00992741">
        <w:rPr>
          <w:rFonts w:ascii="Times New Roman" w:hAnsi="Times New Roman" w:cs="Times New Roman"/>
          <w:sz w:val="18"/>
          <w:szCs w:val="18"/>
        </w:rPr>
        <w:t>, resp. https://genderaveda.cz/en/research/</w:t>
      </w:r>
    </w:p>
  </w:footnote>
  <w:footnote w:id="32">
    <w:p w:rsidRPr="00992741" w:rsidR="008A42B9" w:rsidP="004E3BFD" w:rsidRDefault="008A42B9" w14:paraId="3035C171" w14:textId="45AFE7BC">
      <w:pPr>
        <w:pStyle w:val="Textpoznpodarou"/>
        <w:ind w:left="284" w:hanging="284"/>
        <w:jc w:val="both"/>
        <w:rPr>
          <w:rFonts w:ascii="Times New Roman" w:hAnsi="Times New Roman" w:cs="Times New Roman"/>
        </w:rPr>
      </w:pPr>
      <w:r w:rsidRPr="00992741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92741">
        <w:rPr>
          <w:rFonts w:ascii="Times New Roman" w:hAnsi="Times New Roman" w:cs="Times New Roman"/>
          <w:sz w:val="18"/>
          <w:szCs w:val="18"/>
        </w:rPr>
        <w:t>)</w:t>
      </w:r>
      <w:r w:rsidRPr="00992741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podrobnosti též </w:t>
      </w:r>
      <w:r>
        <w:rPr>
          <w:rStyle w:val="Odkaznakoment"/>
          <w:rFonts w:ascii="Times New Roman" w:hAnsi="Times New Roman" w:cs="Times New Roman"/>
          <w:sz w:val="18"/>
          <w:szCs w:val="18"/>
        </w:rPr>
        <w:t>na</w:t>
      </w:r>
      <w:r w:rsidRPr="00992741">
        <w:rPr>
          <w:rStyle w:val="Odkaznakoment"/>
          <w:rFonts w:ascii="Times New Roman" w:hAnsi="Times New Roman" w:cs="Times New Roman"/>
          <w:sz w:val="18"/>
          <w:szCs w:val="18"/>
        </w:rPr>
        <w:t xml:space="preserve"> https://genderaction.eu/wp-content/uploads/2020/06/D3.2._MonitoringERApriority4implementation.pdf</w:t>
      </w:r>
      <w:r w:rsidRPr="00992741">
        <w:rPr>
          <w:rFonts w:ascii="Times New Roman" w:hAnsi="Times New Roman" w:cs="Times New Roman"/>
        </w:rPr>
        <w:t xml:space="preserve"> </w:t>
      </w:r>
    </w:p>
  </w:footnote>
  <w:footnote w:id="33">
    <w:p w:rsidRPr="00587A19" w:rsidR="00BA5F8E" w:rsidP="00587A19" w:rsidRDefault="00BA5F8E" w14:paraId="1A071AA3" w14:textId="372AB8FB">
      <w:pPr>
        <w:pStyle w:val="Textpoznpodarou"/>
        <w:ind w:left="284" w:hanging="284"/>
        <w:jc w:val="both"/>
        <w:rPr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t>)</w:t>
      </w:r>
      <w:r>
        <w:tab/>
      </w:r>
      <w:r w:rsidRPr="00587A19">
        <w:rPr>
          <w:rFonts w:ascii="Times New Roman" w:hAnsi="Times New Roman" w:cs="Times New Roman"/>
          <w:sz w:val="18"/>
          <w:szCs w:val="18"/>
        </w:rPr>
        <w:t xml:space="preserve">Inovační strategie České republiky 2019-2030 byla přijata usnesením vlády ČR č. 104 ze dne 4. února 2019. Jedná se o strategický rámcový plán, který předurčuje vládní politiku v oblasti výzkumu, vývoje a inovací a má pomoci České republice se během dvanácti let posunout mezi nejinovativnější země Evropy. Skládá se z devíti navzájem provázaných pilířů, které obsahují východiska, základní strategické cíle a nástroje vedoucí k jejich naplnění. Jsou jimi oblasti: </w:t>
      </w:r>
      <w:r w:rsidRPr="00587A19">
        <w:rPr>
          <w:rStyle w:val="Siln"/>
          <w:rFonts w:ascii="Times New Roman" w:hAnsi="Times New Roman" w:cs="Times New Roman"/>
          <w:b w:val="0"/>
          <w:sz w:val="18"/>
          <w:szCs w:val="18"/>
        </w:rPr>
        <w:t>Financování a hodnocení výzkumu a vývoje, Inovační a výzkumná centra, Národní start-up a spin-</w:t>
      </w:r>
      <w:proofErr w:type="spellStart"/>
      <w:r w:rsidRPr="00587A19">
        <w:rPr>
          <w:rStyle w:val="Siln"/>
          <w:rFonts w:ascii="Times New Roman" w:hAnsi="Times New Roman" w:cs="Times New Roman"/>
          <w:b w:val="0"/>
          <w:sz w:val="18"/>
          <w:szCs w:val="18"/>
        </w:rPr>
        <w:t>off</w:t>
      </w:r>
      <w:proofErr w:type="spellEnd"/>
      <w:r w:rsidRPr="00587A19">
        <w:rPr>
          <w:rStyle w:val="Siln"/>
          <w:rFonts w:ascii="Times New Roman" w:hAnsi="Times New Roman" w:cs="Times New Roman"/>
          <w:b w:val="0"/>
          <w:sz w:val="18"/>
          <w:szCs w:val="18"/>
        </w:rPr>
        <w:t xml:space="preserve"> prostředí, Polytechnické vzdělávání, Digitalizace, Mobilita a stavební prostředí, Ochrana duševního vlastnictví, Chytré investice a Chytrý marketing. Druhý z pilířů obsahuje závazek MŠMT připravit návrh takovéhoto nového programu. Dílčí jednání se zástupci některých klíčových </w:t>
      </w:r>
      <w:proofErr w:type="spellStart"/>
      <w:r w:rsidRPr="00587A19">
        <w:rPr>
          <w:rStyle w:val="Siln"/>
          <w:rFonts w:ascii="Times New Roman" w:hAnsi="Times New Roman" w:cs="Times New Roman"/>
          <w:b w:val="0"/>
          <w:sz w:val="18"/>
          <w:szCs w:val="18"/>
        </w:rPr>
        <w:t>stakeholderů</w:t>
      </w:r>
      <w:proofErr w:type="spellEnd"/>
      <w:r w:rsidRPr="00587A19">
        <w:rPr>
          <w:rStyle w:val="Siln"/>
          <w:rFonts w:ascii="Times New Roman" w:hAnsi="Times New Roman" w:cs="Times New Roman"/>
          <w:b w:val="0"/>
          <w:sz w:val="18"/>
          <w:szCs w:val="18"/>
        </w:rPr>
        <w:t xml:space="preserve"> jako je RVVI nebo GAČR proběhla podle akčního plánu (karty) Inovační strategie již ve třetím a čtvrtém čtvrtletí roku 2019, </w:t>
      </w:r>
      <w:r w:rsidRPr="00587A19">
        <w:rPr>
          <w:rFonts w:ascii="Times New Roman" w:hAnsi="Times New Roman" w:cs="Times New Roman"/>
          <w:sz w:val="18"/>
          <w:szCs w:val="18"/>
        </w:rPr>
        <w:t xml:space="preserve">Strategický rámec ČR 2030 identifikuje nedostatečné využívání evidence </w:t>
      </w:r>
      <w:proofErr w:type="spellStart"/>
      <w:r w:rsidRPr="00587A19">
        <w:rPr>
          <w:rFonts w:ascii="Times New Roman" w:hAnsi="Times New Roman" w:cs="Times New Roman"/>
          <w:sz w:val="18"/>
          <w:szCs w:val="18"/>
        </w:rPr>
        <w:t>based</w:t>
      </w:r>
      <w:proofErr w:type="spellEnd"/>
      <w:r w:rsidRPr="00587A1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87A19">
        <w:rPr>
          <w:rFonts w:ascii="Times New Roman" w:hAnsi="Times New Roman" w:cs="Times New Roman"/>
          <w:sz w:val="18"/>
          <w:szCs w:val="18"/>
        </w:rPr>
        <w:t>policy</w:t>
      </w:r>
      <w:proofErr w:type="spellEnd"/>
      <w:r w:rsidRPr="00587A19">
        <w:rPr>
          <w:rFonts w:ascii="Times New Roman" w:hAnsi="Times New Roman" w:cs="Times New Roman"/>
          <w:sz w:val="18"/>
          <w:szCs w:val="18"/>
        </w:rPr>
        <w:t xml:space="preserve"> přístupu v rámci SWOT analýzy. Strategický rámec Česká republika 2030 [online]. Praha: Úřad vlády České republiky, Odbor pro udržitelný rozvoj, 2017 [cit. 2020-08-03, </w:t>
      </w:r>
      <w:bookmarkStart w:name="_Hlk70613692" w:id="6"/>
      <w:r w:rsidRPr="00587A19">
        <w:rPr>
          <w:rFonts w:ascii="Times New Roman" w:hAnsi="Times New Roman" w:cs="Times New Roman"/>
          <w:sz w:val="18"/>
          <w:szCs w:val="18"/>
        </w:rPr>
        <w:t>Strategický rámec rozvoje péče o zdraví v České republice do roku 2030. Zdraví 2030, schválený usnesením vlády ČR ze dne 13. července 2020</w:t>
      </w:r>
      <w:bookmarkEnd w:id="6"/>
      <w:r w:rsidRPr="00587A19">
        <w:rPr>
          <w:rFonts w:ascii="Times New Roman" w:hAnsi="Times New Roman" w:cs="Times New Roman"/>
          <w:sz w:val="18"/>
          <w:szCs w:val="18"/>
        </w:rPr>
        <w:t xml:space="preserve"> č. 743</w:t>
      </w:r>
      <w:r w:rsidRPr="00587A19">
        <w:rPr>
          <w:rFonts w:ascii="Times New Roman" w:hAnsi="Times New Roman" w:cs="Times New Roman"/>
        </w:rPr>
        <w:t xml:space="preserve"> </w:t>
      </w:r>
    </w:p>
  </w:footnote>
  <w:footnote w:id="34">
    <w:p w:rsidR="008A42B9" w:rsidP="00F20843" w:rsidRDefault="008A42B9" w14:paraId="1A7FFDA1" w14:textId="266E4CD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) </w:t>
      </w:r>
      <w:r w:rsidRPr="00F20843">
        <w:rPr>
          <w:rFonts w:ascii="Times New Roman" w:hAnsi="Times New Roman" w:cs="Times New Roman"/>
          <w:sz w:val="18"/>
          <w:szCs w:val="18"/>
        </w:rPr>
        <w:t xml:space="preserve">Kučera, </w:t>
      </w:r>
      <w:proofErr w:type="spellStart"/>
      <w:r w:rsidRPr="00F20843">
        <w:rPr>
          <w:rFonts w:ascii="Times New Roman" w:hAnsi="Times New Roman" w:cs="Times New Roman"/>
          <w:sz w:val="18"/>
          <w:szCs w:val="18"/>
        </w:rPr>
        <w:t>Zd</w:t>
      </w:r>
      <w:proofErr w:type="spellEnd"/>
      <w:r w:rsidRPr="00F20843">
        <w:rPr>
          <w:rFonts w:ascii="Times New Roman" w:hAnsi="Times New Roman" w:cs="Times New Roman"/>
          <w:sz w:val="18"/>
          <w:szCs w:val="18"/>
        </w:rPr>
        <w:t xml:space="preserve">. et al.: </w:t>
      </w:r>
      <w:proofErr w:type="spellStart"/>
      <w:r w:rsidRPr="00F20843">
        <w:rPr>
          <w:rFonts w:ascii="Times New Roman" w:hAnsi="Times New Roman" w:cs="Times New Roman"/>
          <w:sz w:val="18"/>
          <w:szCs w:val="18"/>
        </w:rPr>
        <w:t>Ibid</w:t>
      </w:r>
      <w:proofErr w:type="spellEnd"/>
      <w:r w:rsidRPr="00F20843" w:rsidR="00F20843">
        <w:rPr>
          <w:rFonts w:ascii="Times New Roman" w:hAnsi="Times New Roman" w:cs="Times New Roman"/>
          <w:sz w:val="18"/>
          <w:szCs w:val="18"/>
        </w:rPr>
        <w:t xml:space="preserve">, Kučera </w:t>
      </w:r>
      <w:proofErr w:type="spellStart"/>
      <w:r w:rsidRPr="00F20843" w:rsidR="00F20843">
        <w:rPr>
          <w:rFonts w:ascii="Times New Roman" w:hAnsi="Times New Roman" w:cs="Times New Roman"/>
          <w:sz w:val="18"/>
          <w:szCs w:val="18"/>
        </w:rPr>
        <w:t>Zd</w:t>
      </w:r>
      <w:proofErr w:type="spellEnd"/>
      <w:r w:rsidRPr="00F20843" w:rsidR="00F20843">
        <w:rPr>
          <w:rFonts w:ascii="Times New Roman" w:hAnsi="Times New Roman" w:cs="Times New Roman"/>
          <w:sz w:val="18"/>
          <w:szCs w:val="18"/>
        </w:rPr>
        <w:t xml:space="preserve">., Vondrák T., Pecha O.: Posouzení kapacit a zaměření zdravotního </w:t>
      </w:r>
      <w:proofErr w:type="spellStart"/>
      <w:r w:rsidRPr="00F20843" w:rsidR="00F20843">
        <w:rPr>
          <w:rFonts w:ascii="Times New Roman" w:hAnsi="Times New Roman" w:cs="Times New Roman"/>
          <w:sz w:val="18"/>
          <w:szCs w:val="18"/>
        </w:rPr>
        <w:t>VaV</w:t>
      </w:r>
      <w:proofErr w:type="spellEnd"/>
      <w:r w:rsidRPr="00F20843" w:rsidR="00F20843">
        <w:rPr>
          <w:rFonts w:ascii="Times New Roman" w:hAnsi="Times New Roman" w:cs="Times New Roman"/>
          <w:sz w:val="18"/>
          <w:szCs w:val="18"/>
        </w:rPr>
        <w:t xml:space="preserve"> na základě analýzy účasti v národních programech </w:t>
      </w:r>
      <w:proofErr w:type="spellStart"/>
      <w:r w:rsidRPr="00F20843" w:rsidR="00F20843">
        <w:rPr>
          <w:rFonts w:ascii="Times New Roman" w:hAnsi="Times New Roman" w:cs="Times New Roman"/>
          <w:sz w:val="18"/>
          <w:szCs w:val="18"/>
        </w:rPr>
        <w:t>VaV</w:t>
      </w:r>
      <w:proofErr w:type="spellEnd"/>
      <w:r w:rsidRPr="00F20843" w:rsidR="00F20843">
        <w:rPr>
          <w:rFonts w:ascii="Times New Roman" w:hAnsi="Times New Roman" w:cs="Times New Roman"/>
          <w:sz w:val="18"/>
          <w:szCs w:val="18"/>
        </w:rPr>
        <w:t xml:space="preserve"> a Horizontu 2020. Technologické centrum AV ČR, listopad 2020.</w:t>
      </w:r>
      <w:r>
        <w:t xml:space="preserve"> </w:t>
      </w:r>
    </w:p>
  </w:footnote>
  <w:footnote w:id="35">
    <w:p w:rsidRPr="00BD02A5" w:rsidR="008A42B9" w:rsidP="00BD02A5" w:rsidRDefault="008A42B9" w14:paraId="78BC6896" w14:textId="0635DE2E">
      <w:pPr>
        <w:pStyle w:val="Textpoznpodarou"/>
        <w:jc w:val="both"/>
        <w:rPr>
          <w:sz w:val="18"/>
          <w:szCs w:val="18"/>
        </w:rPr>
      </w:pPr>
      <w:r w:rsidRPr="00BD02A5">
        <w:rPr>
          <w:rStyle w:val="Znakapoznpodarou"/>
          <w:sz w:val="18"/>
          <w:szCs w:val="18"/>
        </w:rPr>
        <w:footnoteRef/>
      </w:r>
      <w:r w:rsidRPr="00BD02A5">
        <w:rPr>
          <w:sz w:val="18"/>
          <w:szCs w:val="18"/>
        </w:rPr>
        <w:t xml:space="preserve">) </w:t>
      </w:r>
      <w:r w:rsidRPr="00BD02A5" w:rsidR="00BD02A5">
        <w:rPr>
          <w:rFonts w:ascii="Times New Roman" w:hAnsi="Times New Roman" w:cs="Times New Roman"/>
          <w:sz w:val="18"/>
          <w:szCs w:val="18"/>
        </w:rPr>
        <w:t>Strategický rámec rozvoje péče o zdraví v České republice do roku 2030</w:t>
      </w:r>
      <w:r w:rsidR="00BD02A5">
        <w:rPr>
          <w:rFonts w:ascii="Times New Roman" w:hAnsi="Times New Roman" w:cs="Times New Roman"/>
          <w:sz w:val="18"/>
          <w:szCs w:val="18"/>
        </w:rPr>
        <w:t xml:space="preserve"> „</w:t>
      </w:r>
      <w:r w:rsidRPr="00BD02A5" w:rsidR="00BD02A5">
        <w:rPr>
          <w:rFonts w:ascii="Times New Roman" w:hAnsi="Times New Roman" w:cs="Times New Roman"/>
          <w:sz w:val="18"/>
          <w:szCs w:val="18"/>
        </w:rPr>
        <w:t>Zdraví 2030</w:t>
      </w:r>
      <w:r w:rsidR="00BD02A5">
        <w:rPr>
          <w:rFonts w:ascii="Times New Roman" w:hAnsi="Times New Roman" w:cs="Times New Roman"/>
          <w:sz w:val="18"/>
          <w:szCs w:val="18"/>
        </w:rPr>
        <w:t>“</w:t>
      </w:r>
      <w:r w:rsidRPr="00BD02A5" w:rsidR="00BD02A5">
        <w:rPr>
          <w:rFonts w:ascii="Times New Roman" w:hAnsi="Times New Roman" w:cs="Times New Roman"/>
          <w:sz w:val="18"/>
          <w:szCs w:val="18"/>
        </w:rPr>
        <w:t>, schválený usnesením vlády ČR ze dne 13. července 2020</w:t>
      </w:r>
      <w:hyperlink w:history="1" r:id="rId23">
        <w:r w:rsidRPr="00BD02A5">
          <w:rPr>
            <w:rStyle w:val="Hypertextovodkaz"/>
            <w:rFonts w:ascii="Times New Roman" w:hAnsi="Times New Roman" w:cs="Times New Roman"/>
            <w:sz w:val="18"/>
            <w:szCs w:val="18"/>
          </w:rPr>
          <w:t>Zdraví 2030 (mzcr.cz)</w:t>
        </w:r>
      </w:hyperlink>
    </w:p>
  </w:footnote>
  <w:footnote w:id="36">
    <w:p w:rsidRPr="00057173" w:rsidR="008A42B9" w:rsidRDefault="008A42B9" w14:paraId="1F1246C9" w14:textId="018F023A">
      <w:pPr>
        <w:pStyle w:val="Textpoznpodarou"/>
        <w:rPr>
          <w:sz w:val="18"/>
          <w:szCs w:val="18"/>
        </w:rPr>
      </w:pPr>
      <w:r w:rsidRPr="00057173">
        <w:rPr>
          <w:rStyle w:val="Znakapoznpodarou"/>
          <w:sz w:val="18"/>
          <w:szCs w:val="18"/>
        </w:rPr>
        <w:footnoteRef/>
      </w:r>
      <w:r w:rsidRPr="00057173">
        <w:rPr>
          <w:sz w:val="18"/>
          <w:szCs w:val="18"/>
        </w:rPr>
        <w:t xml:space="preserve">)  </w:t>
      </w:r>
      <w:hyperlink w:history="1" r:id="rId24">
        <w:r w:rsidRPr="00EA20DA">
          <w:rPr>
            <w:rStyle w:val="Hypertextovodkaz"/>
            <w:sz w:val="18"/>
            <w:szCs w:val="18"/>
          </w:rPr>
          <w:t xml:space="preserve">https://www.biocev.eu/en/researc ; </w:t>
        </w:r>
      </w:hyperlink>
      <w:hyperlink w:history="1" r:id="rId25">
        <w:r w:rsidRPr="00B51338">
          <w:rPr>
            <w:rStyle w:val="Hypertextovodkaz"/>
            <w:sz w:val="18"/>
            <w:szCs w:val="18"/>
          </w:rPr>
          <w:t>https://www.ceitec.eu/</w:t>
        </w:r>
      </w:hyperlink>
      <w:r>
        <w:rPr>
          <w:sz w:val="18"/>
          <w:szCs w:val="18"/>
        </w:rPr>
        <w:t xml:space="preserve"> ; </w:t>
      </w:r>
      <w:hyperlink w:history="1" r:id="rId26">
        <w:r w:rsidRPr="00B51338">
          <w:rPr>
            <w:rStyle w:val="Hypertextovodkaz"/>
            <w:sz w:val="18"/>
            <w:szCs w:val="18"/>
          </w:rPr>
          <w:t>https://www.fnusa-icrc.org/en</w:t>
        </w:r>
      </w:hyperlink>
      <w:r>
        <w:rPr>
          <w:sz w:val="18"/>
          <w:szCs w:val="18"/>
        </w:rPr>
        <w:t xml:space="preserve"> ; d</w:t>
      </w:r>
      <w:r w:rsidRPr="007C342A">
        <w:rPr>
          <w:rFonts w:ascii="Times New Roman" w:hAnsi="Times New Roman" w:cs="Times New Roman"/>
          <w:sz w:val="18"/>
          <w:szCs w:val="18"/>
        </w:rPr>
        <w:t xml:space="preserve">ata o realizovaných programech i o projektech </w:t>
      </w:r>
      <w:r w:rsidR="00A302AB">
        <w:rPr>
          <w:rFonts w:ascii="Times New Roman" w:hAnsi="Times New Roman" w:cs="Times New Roman"/>
          <w:sz w:val="18"/>
          <w:szCs w:val="18"/>
        </w:rPr>
        <w:t xml:space="preserve">(finance a  výsledky) </w:t>
      </w:r>
      <w:r w:rsidRPr="007C342A">
        <w:rPr>
          <w:rFonts w:ascii="Times New Roman" w:hAnsi="Times New Roman" w:cs="Times New Roman"/>
          <w:sz w:val="18"/>
          <w:szCs w:val="18"/>
        </w:rPr>
        <w:t xml:space="preserve">jsou </w:t>
      </w:r>
      <w:r>
        <w:rPr>
          <w:rFonts w:ascii="Times New Roman" w:hAnsi="Times New Roman" w:cs="Times New Roman"/>
          <w:sz w:val="18"/>
          <w:szCs w:val="18"/>
        </w:rPr>
        <w:t xml:space="preserve">také </w:t>
      </w:r>
      <w:r w:rsidRPr="007C342A">
        <w:rPr>
          <w:rFonts w:ascii="Times New Roman" w:hAnsi="Times New Roman" w:cs="Times New Roman"/>
          <w:sz w:val="18"/>
          <w:szCs w:val="18"/>
        </w:rPr>
        <w:t xml:space="preserve">k dispozici ve veřejně dostupném národním informačním systému IS </w:t>
      </w:r>
      <w:proofErr w:type="spellStart"/>
      <w:r w:rsidRPr="007C342A">
        <w:rPr>
          <w:rFonts w:ascii="Times New Roman" w:hAnsi="Times New Roman" w:cs="Times New Roman"/>
          <w:sz w:val="18"/>
          <w:szCs w:val="18"/>
        </w:rPr>
        <w:t>VaVaI</w:t>
      </w:r>
      <w:proofErr w:type="spellEnd"/>
      <w:r w:rsidRPr="007C342A">
        <w:rPr>
          <w:rFonts w:ascii="Times New Roman" w:hAnsi="Times New Roman" w:cs="Times New Roman"/>
          <w:sz w:val="18"/>
          <w:szCs w:val="18"/>
        </w:rPr>
        <w:t xml:space="preserve"> </w:t>
      </w:r>
      <w:hyperlink w:history="1" r:id="rId27">
        <w:r w:rsidRPr="000E3086">
          <w:rPr>
            <w:rStyle w:val="Hypertextovodkaz"/>
            <w:rFonts w:ascii="Times New Roman" w:hAnsi="Times New Roman" w:cs="Times New Roman"/>
            <w:sz w:val="18"/>
            <w:szCs w:val="18"/>
          </w:rPr>
          <w:t>https://www.isvavai.cz/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A302AB">
        <w:rPr>
          <w:rFonts w:ascii="Times New Roman" w:hAnsi="Times New Roman" w:cs="Times New Roman"/>
          <w:sz w:val="18"/>
          <w:szCs w:val="18"/>
        </w:rPr>
        <w:t>- program LQ</w:t>
      </w:r>
      <w:r w:rsidRPr="007C342A" w:rsidR="00A302AB">
        <w:rPr>
          <w:rFonts w:ascii="Times New Roman" w:hAnsi="Times New Roman" w:cs="Times New Roman"/>
          <w:sz w:val="18"/>
          <w:szCs w:val="18"/>
        </w:rPr>
        <w:t xml:space="preserve"> </w:t>
      </w:r>
      <w:r w:rsidR="00A302AB">
        <w:rPr>
          <w:rFonts w:ascii="Times New Roman" w:hAnsi="Times New Roman" w:cs="Times New Roman"/>
          <w:sz w:val="18"/>
          <w:szCs w:val="18"/>
        </w:rPr>
        <w:t>viz  (</w:t>
      </w:r>
      <w:hyperlink w:history="1" r:id="rId28">
        <w:r w:rsidRPr="003E23DB" w:rsidR="00A302AB">
          <w:rPr>
            <w:rStyle w:val="Hypertextovodkaz"/>
            <w:rFonts w:ascii="Times New Roman" w:hAnsi="Times New Roman" w:cs="Times New Roman"/>
            <w:sz w:val="18"/>
            <w:szCs w:val="18"/>
          </w:rPr>
          <w:t>https://www.isvavai.cz/cea?s=programy&amp;ss=detail&amp;n=0&amp;h=LQ</w:t>
        </w:r>
      </w:hyperlink>
      <w:r w:rsidR="00A302AB">
        <w:rPr>
          <w:rFonts w:ascii="Times New Roman" w:hAnsi="Times New Roman" w:cs="Times New Roman"/>
          <w:sz w:val="18"/>
          <w:szCs w:val="18"/>
        </w:rPr>
        <w:t>)</w:t>
      </w:r>
      <w:r>
        <w:rPr>
          <w:sz w:val="18"/>
          <w:szCs w:val="18"/>
        </w:rPr>
        <w:t xml:space="preserve">, </w:t>
      </w:r>
    </w:p>
  </w:footnote>
  <w:footnote w:id="37">
    <w:p w:rsidRPr="00992741" w:rsidR="008A42B9" w:rsidP="00BB19A1" w:rsidRDefault="008A42B9" w14:paraId="7132FF7D" w14:textId="7403C7C1">
      <w:pPr>
        <w:pStyle w:val="Textpoznpodarou"/>
        <w:ind w:left="284" w:hanging="284"/>
        <w:rPr>
          <w:sz w:val="18"/>
          <w:szCs w:val="18"/>
        </w:rPr>
      </w:pPr>
      <w:r w:rsidRPr="00992741">
        <w:rPr>
          <w:rStyle w:val="Znakapoznpodarou"/>
          <w:sz w:val="18"/>
          <w:szCs w:val="18"/>
        </w:rPr>
        <w:footnoteRef/>
      </w:r>
      <w:r w:rsidRPr="00992741">
        <w:rPr>
          <w:sz w:val="18"/>
          <w:szCs w:val="18"/>
        </w:rPr>
        <w:t>)</w:t>
      </w:r>
      <w:r w:rsidRPr="00992741">
        <w:rPr>
          <w:sz w:val="18"/>
          <w:szCs w:val="18"/>
        </w:rPr>
        <w:tab/>
      </w:r>
      <w:r w:rsidRPr="00992741">
        <w:rPr>
          <w:sz w:val="18"/>
          <w:szCs w:val="18"/>
        </w:rPr>
        <w:t xml:space="preserve">https://www.ceitec.eu/ </w:t>
      </w:r>
    </w:p>
  </w:footnote>
  <w:footnote w:id="14179">
    <w:p w:rsidR="71E36747" w:rsidP="71E36747" w:rsidRDefault="71E36747" w14:paraId="0D817258">
      <w:pPr>
        <w:pStyle w:val="Textpoznpodarou"/>
        <w:ind w:left="284" w:hanging="284"/>
        <w:jc w:val="both"/>
      </w:pPr>
      <w:r w:rsidRPr="71E36747">
        <w:rPr>
          <w:rStyle w:val="Znakapoznpodarou"/>
        </w:rPr>
        <w:footnoteRef/>
      </w:r>
      <w:r w:rsidR="71E36747">
        <w:rPr/>
        <w:t>)</w:t>
      </w:r>
      <w:r>
        <w:tab/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Strategický rámec ČR 2030 identifikuje nedostatečné využívání evidence </w:t>
      </w:r>
      <w:r w:rsidRPr="71E36747" w:rsidR="71E36747">
        <w:rPr>
          <w:rFonts w:ascii="Times New Roman" w:hAnsi="Times New Roman" w:cs="Times New Roman"/>
          <w:sz w:val="18"/>
          <w:szCs w:val="18"/>
        </w:rPr>
        <w:t>based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policy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přístupu v rámci SWOT analýzy. Strategický rámec Česká republika 2030 [online]. Praha: Úřad vlády České republiky, Odbor pro udržitelný rozvoj, 2017 [cit. 2020-08-03], 23, A </w:t>
      </w:r>
      <w:r w:rsidRPr="71E36747" w:rsidR="71E36747">
        <w:rPr>
          <w:rFonts w:ascii="Times New Roman" w:hAnsi="Times New Roman" w:cs="Times New Roman"/>
          <w:sz w:val="18"/>
          <w:szCs w:val="18"/>
        </w:rPr>
        <w:t>glossary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of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theories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for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understanding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policymaking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, </w:t>
      </w:r>
      <w:r w:rsidRPr="71E36747" w:rsidR="71E36747">
        <w:rPr>
          <w:rFonts w:ascii="Times New Roman" w:hAnsi="Times New Roman" w:cs="Times New Roman"/>
          <w:sz w:val="18"/>
          <w:szCs w:val="18"/>
        </w:rPr>
        <w:t>Author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(s): Katherine Elizabeth Smith and </w:t>
      </w:r>
      <w:r w:rsidRPr="71E36747" w:rsidR="71E36747">
        <w:rPr>
          <w:rFonts w:ascii="Times New Roman" w:hAnsi="Times New Roman" w:cs="Times New Roman"/>
          <w:sz w:val="18"/>
          <w:szCs w:val="18"/>
        </w:rPr>
        <w:t>Srinivasa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Vittal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Katikireddi</w:t>
      </w:r>
      <w:r w:rsidRPr="71E36747" w:rsidR="71E36747">
        <w:rPr>
          <w:rFonts w:ascii="Times New Roman" w:hAnsi="Times New Roman" w:cs="Times New Roman"/>
          <w:sz w:val="18"/>
          <w:szCs w:val="18"/>
        </w:rPr>
        <w:t>, In: </w:t>
      </w:r>
      <w:r w:rsidRPr="71E36747" w:rsidR="71E36747">
        <w:rPr>
          <w:rFonts w:ascii="Times New Roman" w:hAnsi="Times New Roman" w:cs="Times New Roman"/>
          <w:sz w:val="18"/>
          <w:szCs w:val="18"/>
        </w:rPr>
        <w:t>Journal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of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Epidemiology and </w:t>
      </w:r>
      <w:r w:rsidRPr="71E36747" w:rsidR="71E36747">
        <w:rPr>
          <w:rFonts w:ascii="Times New Roman" w:hAnsi="Times New Roman" w:cs="Times New Roman"/>
          <w:sz w:val="18"/>
          <w:szCs w:val="18"/>
        </w:rPr>
        <w:t>Community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Health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(1979-), </w:t>
      </w:r>
      <w:r w:rsidRPr="71E36747" w:rsidR="71E36747">
        <w:rPr>
          <w:rFonts w:ascii="Times New Roman" w:hAnsi="Times New Roman" w:cs="Times New Roman"/>
          <w:sz w:val="18"/>
          <w:szCs w:val="18"/>
        </w:rPr>
        <w:t>February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2013, Vol. 67, No. 2, pp. 198-202. K významu zpracování dat pro prevenci a fungování veřejného zdravotnictví např. </w:t>
      </w:r>
      <w:r w:rsidRPr="71E36747" w:rsidR="71E36747">
        <w:rPr>
          <w:rFonts w:ascii="Times New Roman" w:hAnsi="Times New Roman" w:cs="Times New Roman"/>
          <w:sz w:val="18"/>
          <w:szCs w:val="18"/>
        </w:rPr>
        <w:t>Budd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, J., Miller, B.S., </w:t>
      </w:r>
      <w:r w:rsidRPr="71E36747" w:rsidR="71E36747">
        <w:rPr>
          <w:rFonts w:ascii="Times New Roman" w:hAnsi="Times New Roman" w:cs="Times New Roman"/>
          <w:sz w:val="18"/>
          <w:szCs w:val="18"/>
        </w:rPr>
        <w:t>Manning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, E.M. et al. Digital </w:t>
      </w:r>
      <w:r w:rsidRPr="71E36747" w:rsidR="71E36747">
        <w:rPr>
          <w:rFonts w:ascii="Times New Roman" w:hAnsi="Times New Roman" w:cs="Times New Roman"/>
          <w:sz w:val="18"/>
          <w:szCs w:val="18"/>
        </w:rPr>
        <w:t>technologies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in </w:t>
      </w:r>
      <w:r w:rsidRPr="71E36747" w:rsidR="71E36747">
        <w:rPr>
          <w:rFonts w:ascii="Times New Roman" w:hAnsi="Times New Roman" w:cs="Times New Roman"/>
          <w:sz w:val="18"/>
          <w:szCs w:val="18"/>
        </w:rPr>
        <w:t>the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public-</w:t>
      </w:r>
      <w:r w:rsidRPr="71E36747" w:rsidR="71E36747">
        <w:rPr>
          <w:rFonts w:ascii="Times New Roman" w:hAnsi="Times New Roman" w:cs="Times New Roman"/>
          <w:sz w:val="18"/>
          <w:szCs w:val="18"/>
        </w:rPr>
        <w:t>health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response to COVID-19. </w:t>
      </w:r>
      <w:r w:rsidRPr="71E36747" w:rsidR="71E36747">
        <w:rPr>
          <w:rFonts w:ascii="Times New Roman" w:hAnsi="Times New Roman" w:cs="Times New Roman"/>
          <w:sz w:val="18"/>
          <w:szCs w:val="18"/>
        </w:rPr>
        <w:t>Nat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Med 26, 1183–1192 (2020). </w:t>
      </w:r>
      <w:hyperlink r:id="Raef4371899084b6e">
        <w:r w:rsidRPr="71E36747" w:rsidR="71E36747">
          <w:rPr>
            <w:rStyle w:val="Hypertextovodkaz"/>
            <w:rFonts w:ascii="Times New Roman" w:hAnsi="Times New Roman" w:cs="Times New Roman"/>
            <w:sz w:val="18"/>
            <w:szCs w:val="18"/>
          </w:rPr>
          <w:t>https://doi.org/10.1038/s41591-020-1011-4</w:t>
        </w:r>
      </w:hyperlink>
      <w:r w:rsidRPr="71E36747" w:rsidR="71E36747">
        <w:rPr>
          <w:rFonts w:ascii="Times New Roman" w:hAnsi="Times New Roman" w:cs="Times New Roman"/>
          <w:sz w:val="18"/>
          <w:szCs w:val="18"/>
        </w:rPr>
        <w:t xml:space="preserve">, </w:t>
      </w:r>
      <w:r w:rsidRPr="71E36747" w:rsidR="71E36747">
        <w:rPr>
          <w:rFonts w:ascii="Times New Roman" w:hAnsi="Times New Roman" w:cs="Times New Roman"/>
          <w:sz w:val="18"/>
          <w:szCs w:val="18"/>
        </w:rPr>
        <w:t>Chapter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Title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: </w:t>
      </w:r>
      <w:r w:rsidRPr="71E36747" w:rsidR="71E36747">
        <w:rPr>
          <w:rFonts w:ascii="Times New Roman" w:hAnsi="Times New Roman" w:cs="Times New Roman"/>
          <w:sz w:val="18"/>
          <w:szCs w:val="18"/>
        </w:rPr>
        <w:t>Critic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, </w:t>
      </w:r>
      <w:r w:rsidRPr="71E36747" w:rsidR="71E36747">
        <w:rPr>
          <w:rFonts w:ascii="Times New Roman" w:hAnsi="Times New Roman" w:cs="Times New Roman"/>
          <w:sz w:val="18"/>
          <w:szCs w:val="18"/>
        </w:rPr>
        <w:t>advocate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, </w:t>
      </w:r>
      <w:r w:rsidRPr="71E36747" w:rsidR="71E36747">
        <w:rPr>
          <w:rFonts w:ascii="Times New Roman" w:hAnsi="Times New Roman" w:cs="Times New Roman"/>
          <w:sz w:val="18"/>
          <w:szCs w:val="18"/>
        </w:rPr>
        <w:t>enforcer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: </w:t>
      </w:r>
      <w:r w:rsidRPr="71E36747" w:rsidR="71E36747">
        <w:rPr>
          <w:rFonts w:ascii="Times New Roman" w:hAnsi="Times New Roman" w:cs="Times New Roman"/>
          <w:sz w:val="18"/>
          <w:szCs w:val="18"/>
        </w:rPr>
        <w:t>the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multiple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roles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of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academics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in public </w:t>
      </w:r>
      <w:r w:rsidRPr="71E36747" w:rsidR="71E36747">
        <w:rPr>
          <w:rFonts w:ascii="Times New Roman" w:hAnsi="Times New Roman" w:cs="Times New Roman"/>
          <w:sz w:val="18"/>
          <w:szCs w:val="18"/>
        </w:rPr>
        <w:t>policy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, </w:t>
      </w:r>
      <w:r w:rsidRPr="71E36747" w:rsidR="71E36747">
        <w:rPr>
          <w:rFonts w:ascii="Times New Roman" w:hAnsi="Times New Roman" w:cs="Times New Roman"/>
          <w:sz w:val="18"/>
          <w:szCs w:val="18"/>
        </w:rPr>
        <w:t>Chapter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Author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(s): John Paul </w:t>
      </w:r>
      <w:r w:rsidRPr="71E36747" w:rsidR="71E36747">
        <w:rPr>
          <w:rFonts w:ascii="Times New Roman" w:hAnsi="Times New Roman" w:cs="Times New Roman"/>
          <w:sz w:val="18"/>
          <w:szCs w:val="18"/>
        </w:rPr>
        <w:t>Catungal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, </w:t>
      </w:r>
      <w:r w:rsidRPr="71E36747" w:rsidR="71E36747">
        <w:rPr>
          <w:rFonts w:ascii="Times New Roman" w:hAnsi="Times New Roman" w:cs="Times New Roman"/>
          <w:sz w:val="18"/>
          <w:szCs w:val="18"/>
        </w:rPr>
        <w:t>Book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Title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: </w:t>
      </w:r>
      <w:r w:rsidRPr="71E36747" w:rsidR="71E36747">
        <w:rPr>
          <w:rFonts w:ascii="Times New Roman" w:hAnsi="Times New Roman" w:cs="Times New Roman"/>
          <w:sz w:val="18"/>
          <w:szCs w:val="18"/>
        </w:rPr>
        <w:t>Engaging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with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Policy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, </w:t>
      </w:r>
      <w:r w:rsidRPr="71E36747" w:rsidR="71E36747">
        <w:rPr>
          <w:rFonts w:ascii="Times New Roman" w:hAnsi="Times New Roman" w:cs="Times New Roman"/>
          <w:sz w:val="18"/>
          <w:szCs w:val="18"/>
        </w:rPr>
        <w:t>Practice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and </w:t>
      </w:r>
      <w:r w:rsidRPr="71E36747" w:rsidR="71E36747">
        <w:rPr>
          <w:rFonts w:ascii="Times New Roman" w:hAnsi="Times New Roman" w:cs="Times New Roman"/>
          <w:sz w:val="18"/>
          <w:szCs w:val="18"/>
        </w:rPr>
        <w:t>Publics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, </w:t>
      </w:r>
      <w:r w:rsidRPr="71E36747" w:rsidR="71E36747">
        <w:rPr>
          <w:rFonts w:ascii="Times New Roman" w:hAnsi="Times New Roman" w:cs="Times New Roman"/>
          <w:sz w:val="18"/>
          <w:szCs w:val="18"/>
        </w:rPr>
        <w:t>Book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Subtitle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: </w:t>
      </w:r>
      <w:r w:rsidRPr="71E36747" w:rsidR="71E36747">
        <w:rPr>
          <w:rFonts w:ascii="Times New Roman" w:hAnsi="Times New Roman" w:cs="Times New Roman"/>
          <w:sz w:val="18"/>
          <w:szCs w:val="18"/>
        </w:rPr>
        <w:t>Intersectionality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and </w:t>
      </w:r>
      <w:r w:rsidRPr="71E36747" w:rsidR="71E36747">
        <w:rPr>
          <w:rFonts w:ascii="Times New Roman" w:hAnsi="Times New Roman" w:cs="Times New Roman"/>
          <w:sz w:val="18"/>
          <w:szCs w:val="18"/>
        </w:rPr>
        <w:t>Impacts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. </w:t>
      </w:r>
      <w:r w:rsidRPr="71E36747" w:rsidR="71E36747">
        <w:rPr>
          <w:rFonts w:ascii="Times New Roman" w:hAnsi="Times New Roman" w:cs="Times New Roman"/>
          <w:sz w:val="18"/>
          <w:szCs w:val="18"/>
        </w:rPr>
        <w:t>Book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Editor(s): SARAH MARIE HALL, RALITSA HITEVA, </w:t>
      </w:r>
      <w:r w:rsidRPr="71E36747" w:rsidR="71E36747">
        <w:rPr>
          <w:rFonts w:ascii="Times New Roman" w:hAnsi="Times New Roman" w:cs="Times New Roman"/>
          <w:sz w:val="18"/>
          <w:szCs w:val="18"/>
        </w:rPr>
        <w:t>Published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by: Bristol University </w:t>
      </w:r>
      <w:r w:rsidRPr="71E36747" w:rsidR="71E36747">
        <w:rPr>
          <w:rFonts w:ascii="Times New Roman" w:hAnsi="Times New Roman" w:cs="Times New Roman"/>
          <w:sz w:val="18"/>
          <w:szCs w:val="18"/>
        </w:rPr>
        <w:t>Press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, </w:t>
      </w:r>
      <w:r w:rsidRPr="71E36747" w:rsidR="71E36747">
        <w:rPr>
          <w:rFonts w:ascii="Times New Roman" w:hAnsi="Times New Roman" w:cs="Times New Roman"/>
          <w:sz w:val="18"/>
          <w:szCs w:val="18"/>
        </w:rPr>
        <w:t>Policy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Press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. (2020). K významu interpretace zdravotnických dat v komunikačních strategiích např. </w:t>
      </w:r>
      <w:r w:rsidRPr="71E36747" w:rsidR="71E36747">
        <w:rPr>
          <w:rFonts w:ascii="Times New Roman" w:hAnsi="Times New Roman" w:cs="Times New Roman"/>
          <w:sz w:val="18"/>
          <w:szCs w:val="18"/>
        </w:rPr>
        <w:t>Naeem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, S.B. and </w:t>
      </w:r>
      <w:r w:rsidRPr="71E36747" w:rsidR="71E36747">
        <w:rPr>
          <w:rFonts w:ascii="Times New Roman" w:hAnsi="Times New Roman" w:cs="Times New Roman"/>
          <w:sz w:val="18"/>
          <w:szCs w:val="18"/>
        </w:rPr>
        <w:t>Bhatti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, R. (2020), </w:t>
      </w:r>
      <w:r w:rsidRPr="71E36747" w:rsidR="71E36747">
        <w:rPr>
          <w:rFonts w:ascii="Times New Roman" w:hAnsi="Times New Roman" w:cs="Times New Roman"/>
          <w:sz w:val="18"/>
          <w:szCs w:val="18"/>
        </w:rPr>
        <w:t>The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Covid‐19 ‘</w:t>
      </w:r>
      <w:r w:rsidRPr="71E36747" w:rsidR="71E36747">
        <w:rPr>
          <w:rFonts w:ascii="Times New Roman" w:hAnsi="Times New Roman" w:cs="Times New Roman"/>
          <w:sz w:val="18"/>
          <w:szCs w:val="18"/>
        </w:rPr>
        <w:t>infodemic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’: a </w:t>
      </w:r>
      <w:r w:rsidRPr="71E36747" w:rsidR="71E36747">
        <w:rPr>
          <w:rFonts w:ascii="Times New Roman" w:hAnsi="Times New Roman" w:cs="Times New Roman"/>
          <w:sz w:val="18"/>
          <w:szCs w:val="18"/>
        </w:rPr>
        <w:t>new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front </w:t>
      </w:r>
      <w:r w:rsidRPr="71E36747" w:rsidR="71E36747">
        <w:rPr>
          <w:rFonts w:ascii="Times New Roman" w:hAnsi="Times New Roman" w:cs="Times New Roman"/>
          <w:sz w:val="18"/>
          <w:szCs w:val="18"/>
        </w:rPr>
        <w:t>for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information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professionals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. </w:t>
      </w:r>
      <w:r w:rsidRPr="71E36747" w:rsidR="71E36747">
        <w:rPr>
          <w:rFonts w:ascii="Times New Roman" w:hAnsi="Times New Roman" w:cs="Times New Roman"/>
          <w:sz w:val="18"/>
          <w:szCs w:val="18"/>
        </w:rPr>
        <w:t>Health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Info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Libr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J, 37: 233-239. </w:t>
      </w:r>
      <w:hyperlink r:id="Rc37bf83e42bd49bd">
        <w:r w:rsidRPr="71E36747" w:rsidR="71E36747">
          <w:rPr>
            <w:rFonts w:ascii="Times New Roman" w:hAnsi="Times New Roman" w:cs="Times New Roman"/>
            <w:sz w:val="18"/>
            <w:szCs w:val="18"/>
          </w:rPr>
          <w:t>https://doi.org/10.1111/hir.12311</w:t>
        </w:r>
      </w:hyperlink>
      <w:r w:rsidRPr="71E36747" w:rsidR="71E36747">
        <w:rPr>
          <w:rFonts w:ascii="Times New Roman" w:hAnsi="Times New Roman" w:cs="Times New Roman"/>
          <w:sz w:val="18"/>
          <w:szCs w:val="18"/>
        </w:rPr>
        <w:t>..</w:t>
      </w:r>
    </w:p>
  </w:footnote>
  <w:footnote w:id="26096">
    <w:p w:rsidR="71E36747" w:rsidP="71E36747" w:rsidRDefault="71E36747" w14:paraId="39F78B6C" w14:textId="7A6B4CC2">
      <w:pPr>
        <w:pStyle w:val="Textpoznpodarou"/>
        <w:ind w:left="284" w:hanging="284"/>
        <w:jc w:val="both"/>
        <w:rPr>
          <w:sz w:val="18"/>
          <w:szCs w:val="18"/>
        </w:rPr>
      </w:pPr>
      <w:r w:rsidRPr="71E36747">
        <w:rPr>
          <w:rStyle w:val="Znakapoznpodarou"/>
        </w:rPr>
        <w:footnoteRef/>
      </w:r>
      <w:r w:rsidR="71E36747">
        <w:rPr/>
        <w:t>)</w:t>
      </w:r>
      <w:r>
        <w:tab/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Statistická data o vývoji denního počtu zemřelých v letech 2015 – 2020 ukazují výrazný nárůst v souvislosti s probíhající pandemií Covid-19 (ČSÚ. V roce 2020 zemřelo přes 129 tisíc obyvatel Česka. Dostupné z </w:t>
      </w:r>
      <w:hyperlink r:id="Rb1ee25662ffe4467">
        <w:r w:rsidRPr="71E36747" w:rsidR="71E36747">
          <w:rPr>
            <w:rStyle w:val="K-TextInfoChar"/>
            <w:rFonts w:eastAsia="Times New Roman"/>
            <w:i w:val="0"/>
            <w:iCs w:val="0"/>
            <w:color w:val="auto"/>
            <w:sz w:val="18"/>
            <w:szCs w:val="18"/>
          </w:rPr>
          <w:t>https://www.czso.cz/csu/czso/v-roce-2020-zemrelo-pres-129-tisic-obyvatel-ceska</w:t>
        </w:r>
      </w:hyperlink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>. MZ ČR. Data o celkové mortalitě a o příčinách úmrtí pacientů s COVID-19. Dostupné z https://koronavirus.mzcr.cz/wp-content/uploads/2020/11/Data-o-celkov%C3%A9-mortalit%C4%9B-a-o-p%C5%99%C3%AD%C4%8Din%C3%A1ch-%C3%BAmrt%C3%AD-pacient%C5%AF-s-covid-19.pdf, s. 14. ČSÚ uvádí zemřelé podle seznamu příčin smrti, pohlaví a věku v ČR, krajích a okresech – 2010-2019. Dostupné z </w:t>
      </w:r>
      <w:hyperlink r:id="R8fa87dcfeca64dce">
        <w:r w:rsidRPr="71E36747" w:rsidR="71E36747">
          <w:rPr>
            <w:rStyle w:val="K-TextInfoChar"/>
            <w:rFonts w:eastAsia="Times New Roman"/>
            <w:i w:val="0"/>
            <w:iCs w:val="0"/>
            <w:color w:val="auto"/>
            <w:sz w:val="18"/>
            <w:szCs w:val="18"/>
          </w:rPr>
          <w:t>https://www.czso.cz/csu/czso/ceska-republika-podle-pohlavi-a-veku-2010-2019</w:t>
        </w:r>
      </w:hyperlink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. Studie z roku 2013 aplikující data z rozsáhlé evropské studie 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>Cost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 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>of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 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>Disorders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 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>of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 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>the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 Brain in 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>Europe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 na ČR uvádí, že zahrnutí socioekonomického břemene do celkové kalkulace nákladů spojených s jednotlivými skupinami chorob činí skupinu poruch mozku nejnákladnější. (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>Ehler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, E., Bednařík,  J., 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>Höschl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 C., Winkler, P., Suchý M. a Pátá, M.: Náklady na poruchy mozku v České republice. In: Česká a slovenská neurologie a neurochirurgie, 2013; 76/109(3): 282–291). Podle údajů ČZÚ jsou nemoci nervové soustavy jednou ze tří diagnóz, u nichž v letech 2010-2017 došlo procentuálně k nejvyššímu růstu výdajů na léčbu (o 70 %) (Výsledky zdravotnických účtů ČR 2010 – 2017. Výdaje zdravotních pojišťoven. Dostupné z </w:t>
      </w:r>
      <w:hyperlink r:id="Rdc53ae8b9171407b">
        <w:r w:rsidRPr="71E36747" w:rsidR="71E36747">
          <w:rPr>
            <w:rStyle w:val="K-TextInfoChar"/>
            <w:rFonts w:eastAsia="Times New Roman"/>
            <w:i w:val="0"/>
            <w:iCs w:val="0"/>
            <w:color w:val="auto"/>
            <w:sz w:val="18"/>
            <w:szCs w:val="18"/>
          </w:rPr>
          <w:t>https://www.czso.cz/documents/10180/90577099/26000519k3_1.pdf/90c9db8f-65b4-4cf2-9f44-d26228d62a5e?version=1.0</w:t>
        </w:r>
      </w:hyperlink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, str. 5.) </w:t>
      </w:r>
    </w:p>
  </w:footnote>
  <w:footnote w:id="17563">
    <w:p w:rsidR="71E36747" w:rsidP="71E36747" w:rsidRDefault="71E36747" w14:noSpellErr="1" w14:paraId="4F912EA7" w14:textId="4D813428">
      <w:pPr>
        <w:pStyle w:val="Textpoznpodarou"/>
        <w:ind w:left="284" w:hanging="284"/>
      </w:pPr>
    </w:p>
    <w:p w:rsidR="71E36747" w:rsidP="71E36747" w:rsidRDefault="71E36747" w14:paraId="0DF54BF6" w14:textId="52AD7613">
      <w:pPr>
        <w:pStyle w:val="Textpoznpodarou"/>
        <w:ind w:left="284" w:hanging="284"/>
      </w:pPr>
      <w:r w:rsidR="71E36747">
        <w:rPr/>
        <w:t>)</w:t>
      </w:r>
      <w:r>
        <w:tab/>
      </w:r>
      <w:r w:rsidRPr="71E36747" w:rsidR="71E36747">
        <w:rPr>
          <w:rFonts w:ascii="Times New Roman" w:hAnsi="Times New Roman" w:eastAsia="Batang" w:cs="Times New Roman"/>
          <w:noProof/>
          <w:sz w:val="18"/>
          <w:szCs w:val="18"/>
          <w:lang w:eastAsia="ko-KR"/>
        </w:rPr>
        <w:t>Vondrák, T., Kučera Zd.., Pazour M.: Posouzení zaměření zdravotního VaV na základě bibliometrické analýzy publikací ve vybraných lékařských a příbuzných oborech. Technologické centrum AV ČR, únor 2021</w:t>
      </w:r>
      <w:r w:rsidRPr="71E36747" w:rsidR="71E36747">
        <w:rPr>
          <w:rFonts w:ascii="Times New Roman" w:hAnsi="Times New Roman" w:eastAsia="Batang" w:cs="Times New Roman"/>
          <w:noProof/>
          <w:sz w:val="18"/>
          <w:szCs w:val="18"/>
          <w:lang w:eastAsia="ko-KR"/>
        </w:rPr>
        <w:t xml:space="preserve">, 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Kučera </w:t>
      </w:r>
      <w:r w:rsidRPr="71E36747" w:rsidR="71E36747">
        <w:rPr>
          <w:rFonts w:ascii="Times New Roman" w:hAnsi="Times New Roman" w:cs="Times New Roman"/>
          <w:sz w:val="18"/>
          <w:szCs w:val="18"/>
        </w:rPr>
        <w:t>Zd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., Vondrák T., Pecha O.: Posouzení kapacit a zaměření zdravotního </w:t>
      </w:r>
      <w:r w:rsidRPr="71E36747" w:rsidR="71E36747">
        <w:rPr>
          <w:rFonts w:ascii="Times New Roman" w:hAnsi="Times New Roman" w:cs="Times New Roman"/>
          <w:sz w:val="18"/>
          <w:szCs w:val="18"/>
        </w:rPr>
        <w:t>VaV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na základě analýzy účasti v národních programech </w:t>
      </w:r>
      <w:r w:rsidRPr="71E36747" w:rsidR="71E36747">
        <w:rPr>
          <w:rFonts w:ascii="Times New Roman" w:hAnsi="Times New Roman" w:cs="Times New Roman"/>
          <w:sz w:val="18"/>
          <w:szCs w:val="18"/>
        </w:rPr>
        <w:t>VaV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a Horizontu 2020. Technologické centrum AV ČR, listopad 2020</w:t>
      </w:r>
    </w:p>
  </w:footnote>
  <w:footnote w:id="31748">
    <w:p w:rsidR="71E36747" w:rsidP="71E36747" w:rsidRDefault="71E36747" w14:noSpellErr="1" w14:paraId="7F122373" w14:textId="5B8A6880">
      <w:pPr>
        <w:pStyle w:val="Textpoznpodarou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71E36747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71E36747" w:rsidR="71E36747">
        <w:rPr>
          <w:rFonts w:ascii="Times New Roman" w:hAnsi="Times New Roman" w:cs="Times New Roman"/>
          <w:sz w:val="18"/>
          <w:szCs w:val="18"/>
        </w:rPr>
        <w:t>)</w:t>
      </w:r>
      <w:r>
        <w:tab/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Nový program implementující tuto komponentu 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>nebude invest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>ovat do rozšiřování běžných provozních a mikrobiologických laboratoří nemocnic a léčebných zařízení, sloužící běžnému testování pacientů na základě požadavku lékařů, ani jejich personální kapacity. Ty jsou předmětem podpory jiných komponent a dotačních opatření zejména Ministerstva zdravotnictví.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2952">
    <w:p w:rsidR="71E36747" w:rsidP="71E36747" w:rsidRDefault="71E36747" w14:noSpellErr="1" w14:paraId="2C85D451" w14:textId="372103BC">
      <w:pPr>
        <w:pStyle w:val="Textkomente"/>
        <w:tabs>
          <w:tab w:val="left" w:leader="none" w:pos="284"/>
        </w:tabs>
        <w:spacing w:after="0"/>
        <w:ind w:left="284" w:hanging="284"/>
        <w:jc w:val="both"/>
      </w:pPr>
      <w:r w:rsidRPr="71E36747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71E36747" w:rsidR="71E36747">
        <w:rPr>
          <w:rFonts w:ascii="Times New Roman" w:hAnsi="Times New Roman" w:cs="Times New Roman"/>
          <w:sz w:val="18"/>
          <w:szCs w:val="18"/>
        </w:rPr>
        <w:t>)</w:t>
      </w:r>
      <w:r>
        <w:tab/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Primárně jde 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však stále 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o budování vědecké základny, 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>nikoli o informační servis směřovaný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 pouze k pacientům. Výstupy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, výsledky výzkumu a informace o nich 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>s uplatněním FAIR principů všude tam, kde je to možné, by měly být obdobně jako v jiných vědních oborech dostupné zájemcům z řad šir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>ší odborné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 xml:space="preserve"> veřejnosti</w:t>
      </w:r>
      <w:r w:rsidRPr="71E36747" w:rsidR="71E36747">
        <w:rPr>
          <w:rStyle w:val="K-TextInfoChar"/>
          <w:rFonts w:eastAsia="Times New Roman"/>
          <w:i w:val="0"/>
          <w:iCs w:val="0"/>
          <w:color w:val="auto"/>
          <w:sz w:val="18"/>
          <w:szCs w:val="18"/>
        </w:rPr>
        <w:t>.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 </w:t>
      </w:r>
      <w:r w:rsidRPr="71E36747" w:rsidR="71E36747">
        <w:rPr>
          <w:rFonts w:ascii="Times New Roman" w:hAnsi="Times New Roman" w:cs="Times New Roman"/>
          <w:sz w:val="18"/>
          <w:szCs w:val="18"/>
        </w:rPr>
        <w:t>Proto i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nvestice může omezeně </w:t>
      </w:r>
      <w:r w:rsidRPr="71E36747" w:rsidR="71E36747">
        <w:rPr>
          <w:rFonts w:ascii="Times New Roman" w:hAnsi="Times New Roman" w:cs="Times New Roman"/>
          <w:sz w:val="18"/>
          <w:szCs w:val="18"/>
        </w:rPr>
        <w:t xml:space="preserve">také </w:t>
      </w:r>
      <w:r w:rsidRPr="71E36747" w:rsidR="71E36747">
        <w:rPr>
          <w:rFonts w:ascii="Times New Roman" w:hAnsi="Times New Roman" w:cs="Times New Roman"/>
          <w:sz w:val="18"/>
          <w:szCs w:val="18"/>
        </w:rPr>
        <w:t>směřovat do propojování a sdílení výzkumných a socioekonomických dat pro výzkumné účely</w:t>
      </w:r>
      <w:r w:rsidRPr="71E36747" w:rsidR="71E36747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p14">
  <w:p w:rsidR="00FE4F4C" w:rsidRDefault="00FE4F4C" w14:paraId="5FA9A67E" w14:textId="365B160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F696316" wp14:editId="11474E87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3970"/>
              <wp:wrapSquare wrapText="bothSides"/>
              <wp:docPr id="2" name="Textové pole 2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E4F4C" w:rsidR="00FE4F4C" w:rsidRDefault="00FE4F4C" w14:paraId="43820864" w14:textId="6E88CDAD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FE4F4C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56B02165">
            <v:shapetype id="_x0000_t202" coordsize="21600,21600" o:spt="202" path="m,l,21600r21600,l21600,xe" w14:anchorId="5F696316">
              <v:stroke joinstyle="miter"/>
              <v:path gradientshapeok="t" o:connecttype="rect"/>
            </v:shapetype>
            <v:shape id="Textové pole 2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Veřejně přístupné informace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">
              <v:fill o:detectmouseclick="t"/>
              <v:textbox style="mso-fit-shape-to-text:t" inset="5pt,0,0,0">
                <w:txbxContent>
                  <w:p w:rsidRPr="00FE4F4C" w:rsidR="00FE4F4C" w:rsidRDefault="00FE4F4C" w14:paraId="1BCEFC09" w14:textId="6E88CDAD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FE4F4C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p14">
  <w:p w:rsidRPr="004F11FA" w:rsidR="008A42B9" w:rsidRDefault="00FE4F4C" w14:paraId="6B4B2EBA" w14:textId="3F934449">
    <w:pPr>
      <w:pStyle w:val="Zhlav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FAF6C14" wp14:editId="00AFBB02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3970"/>
              <wp:wrapSquare wrapText="bothSides"/>
              <wp:docPr id="3" name="Textové pole 3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E4F4C" w:rsidR="00FE4F4C" w:rsidRDefault="00FE4F4C" w14:paraId="106A21ED" w14:textId="52A435C5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FE4F4C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753A895A">
            <v:shapetype id="_x0000_t202" coordsize="21600,21600" o:spt="202" path="m,l,21600r21600,l21600,xe" w14:anchorId="0FAF6C14">
              <v:stroke joinstyle="miter"/>
              <v:path gradientshapeok="t" o:connecttype="rect"/>
            </v:shapetype>
            <v:shape id="Textové pole 3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Veřejně přístupné informace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">
              <v:fill o:detectmouseclick="t"/>
              <v:textbox style="mso-fit-shape-to-text:t" inset="5pt,0,0,0">
                <w:txbxContent>
                  <w:p w:rsidRPr="00FE4F4C" w:rsidR="00FE4F4C" w:rsidRDefault="00FE4F4C" w14:paraId="1163FFC9" w14:textId="52A435C5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FE4F4C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F11FA" w:rsidR="008A42B9">
      <w:rPr>
        <w:rFonts w:ascii="Times New Roman" w:hAnsi="Times New Roman" w:cs="Times New Roman"/>
        <w:i/>
      </w:rPr>
      <w:t>5.1 Excelentní výzkum a vývoj v prioritních oblastech veřejného zájmu ve zdravotnictví</w:t>
    </w:r>
  </w:p>
  <w:p w:rsidR="008A42B9" w:rsidRDefault="008A42B9" w14:paraId="769C1CD0" w14:textId="777777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p14">
  <w:p w:rsidR="00FE4F4C" w:rsidRDefault="00FE4F4C" w14:paraId="11379889" w14:textId="5AFCD34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04369BF" wp14:editId="42DADA07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3970"/>
              <wp:wrapSquare wrapText="bothSides"/>
              <wp:docPr id="1" name="Textové pole 1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E4F4C" w:rsidR="00FE4F4C" w:rsidRDefault="00FE4F4C" w14:paraId="240FE292" w14:textId="1073BB08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FE4F4C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2A98FDBD">
            <v:shapetype id="_x0000_t202" coordsize="21600,21600" o:spt="202" path="m,l,21600r21600,l21600,xe" w14:anchorId="304369BF">
              <v:stroke joinstyle="miter"/>
              <v:path gradientshapeok="t" o:connecttype="rect"/>
            </v:shapetype>
            <v:shape id="Textové pole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Veřejně přístupné informace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">
              <v:fill o:detectmouseclick="t"/>
              <v:textbox style="mso-fit-shape-to-text:t" inset="5pt,0,0,0">
                <w:txbxContent>
                  <w:p w:rsidRPr="00FE4F4C" w:rsidR="00FE4F4C" w:rsidRDefault="00FE4F4C" w14:paraId="67DBD644" w14:textId="1073BB08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FE4F4C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4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0000003"/>
    <w:multiLevelType w:val="multilevel"/>
    <w:tmpl w:val="D8A4B8E2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214" w:hanging="504"/>
      </w:pPr>
      <w:rPr>
        <w:rFonts w:hint="default" w:ascii="Calibri" w:hAnsi="Calibri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027615B3"/>
    <w:multiLevelType w:val="hybridMultilevel"/>
    <w:tmpl w:val="3DF8B068"/>
    <w:lvl w:ilvl="0" w:tplc="04050011">
      <w:start w:val="2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D1B93"/>
    <w:multiLevelType w:val="multilevel"/>
    <w:tmpl w:val="29EA72CE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3" w15:restartNumberingAfterBreak="0">
    <w:nsid w:val="0524594E"/>
    <w:multiLevelType w:val="hybridMultilevel"/>
    <w:tmpl w:val="9AEE41EA"/>
    <w:lvl w:ilvl="0" w:tplc="13D2E630">
      <w:start w:val="1"/>
      <w:numFmt w:val="decimal"/>
      <w:lvlText w:val="%1."/>
      <w:lvlJc w:val="left"/>
      <w:pPr>
        <w:ind w:left="720" w:hanging="360"/>
      </w:pPr>
    </w:lvl>
    <w:lvl w:ilvl="1" w:tplc="605053C8">
      <w:start w:val="1"/>
      <w:numFmt w:val="lowerLetter"/>
      <w:lvlText w:val="%2."/>
      <w:lvlJc w:val="left"/>
      <w:pPr>
        <w:ind w:left="1440" w:hanging="360"/>
      </w:pPr>
    </w:lvl>
    <w:lvl w:ilvl="2" w:tplc="A10E02CA">
      <w:start w:val="1"/>
      <w:numFmt w:val="lowerRoman"/>
      <w:lvlText w:val="%3."/>
      <w:lvlJc w:val="right"/>
      <w:pPr>
        <w:ind w:left="2160" w:hanging="180"/>
      </w:pPr>
    </w:lvl>
    <w:lvl w:ilvl="3" w:tplc="519C6394">
      <w:start w:val="1"/>
      <w:numFmt w:val="decimal"/>
      <w:lvlText w:val="%4."/>
      <w:lvlJc w:val="left"/>
      <w:pPr>
        <w:ind w:left="2880" w:hanging="360"/>
      </w:pPr>
    </w:lvl>
    <w:lvl w:ilvl="4" w:tplc="945C355C">
      <w:start w:val="1"/>
      <w:numFmt w:val="lowerLetter"/>
      <w:lvlText w:val="%5."/>
      <w:lvlJc w:val="left"/>
      <w:pPr>
        <w:ind w:left="3600" w:hanging="360"/>
      </w:pPr>
    </w:lvl>
    <w:lvl w:ilvl="5" w:tplc="5E708694">
      <w:start w:val="1"/>
      <w:numFmt w:val="lowerRoman"/>
      <w:lvlText w:val="%6."/>
      <w:lvlJc w:val="right"/>
      <w:pPr>
        <w:ind w:left="4320" w:hanging="180"/>
      </w:pPr>
    </w:lvl>
    <w:lvl w:ilvl="6" w:tplc="6E122BC2">
      <w:start w:val="1"/>
      <w:numFmt w:val="decimal"/>
      <w:lvlText w:val="%7."/>
      <w:lvlJc w:val="left"/>
      <w:pPr>
        <w:ind w:left="5040" w:hanging="360"/>
      </w:pPr>
    </w:lvl>
    <w:lvl w:ilvl="7" w:tplc="389C3ABC">
      <w:start w:val="1"/>
      <w:numFmt w:val="lowerLetter"/>
      <w:lvlText w:val="%8."/>
      <w:lvlJc w:val="left"/>
      <w:pPr>
        <w:ind w:left="5760" w:hanging="360"/>
      </w:pPr>
    </w:lvl>
    <w:lvl w:ilvl="8" w:tplc="C18A630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C0D49"/>
    <w:multiLevelType w:val="hybridMultilevel"/>
    <w:tmpl w:val="AE7A35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316F8"/>
    <w:multiLevelType w:val="multilevel"/>
    <w:tmpl w:val="3320A8B2"/>
    <w:numStyleLink w:val="VariantaB-odrky"/>
  </w:abstractNum>
  <w:abstractNum w:abstractNumId="6" w15:restartNumberingAfterBreak="0">
    <w:nsid w:val="1615572B"/>
    <w:multiLevelType w:val="hybridMultilevel"/>
    <w:tmpl w:val="3320A8B2"/>
    <w:styleLink w:val="VariantaB-odrky"/>
    <w:lvl w:ilvl="0" w:tplc="5CCA3324">
      <w:start w:val="1"/>
      <w:numFmt w:val="bullet"/>
      <w:pStyle w:val="SeznamsodrkamiB"/>
      <w:lvlText w:val="—"/>
      <w:lvlJc w:val="left"/>
      <w:pPr>
        <w:ind w:left="357" w:hanging="357"/>
      </w:pPr>
      <w:rPr>
        <w:rFonts w:hint="default" w:ascii="Calibri" w:hAnsi="Calibri"/>
        <w:sz w:val="16"/>
      </w:rPr>
    </w:lvl>
    <w:lvl w:ilvl="1" w:tplc="3EFCB384">
      <w:start w:val="1"/>
      <w:numFmt w:val="bullet"/>
      <w:pStyle w:val="SeznamsodrkamiB2"/>
      <w:lvlText w:val=""/>
      <w:lvlJc w:val="left"/>
      <w:pPr>
        <w:ind w:left="714" w:hanging="357"/>
      </w:pPr>
      <w:rPr>
        <w:rFonts w:hint="default" w:ascii="Wingdings" w:hAnsi="Wingdings"/>
        <w:sz w:val="14"/>
      </w:rPr>
    </w:lvl>
    <w:lvl w:ilvl="2" w:tplc="7DFA6362">
      <w:start w:val="1"/>
      <w:numFmt w:val="bullet"/>
      <w:pStyle w:val="SeznamsodrkamiB3"/>
      <w:lvlText w:val=""/>
      <w:lvlJc w:val="left"/>
      <w:pPr>
        <w:ind w:left="1071" w:hanging="357"/>
      </w:pPr>
      <w:rPr>
        <w:rFonts w:hint="default" w:ascii="Wingdings 2" w:hAnsi="Wingdings 2"/>
      </w:rPr>
    </w:lvl>
    <w:lvl w:ilvl="3" w:tplc="061EF164">
      <w:start w:val="1"/>
      <w:numFmt w:val="bullet"/>
      <w:pStyle w:val="SeznamsodrkamiB4"/>
      <w:lvlText w:val=""/>
      <w:lvlJc w:val="left"/>
      <w:pPr>
        <w:ind w:left="1428" w:hanging="357"/>
      </w:pPr>
      <w:rPr>
        <w:rFonts w:hint="default" w:ascii="Wingdings 2" w:hAnsi="Wingdings 2"/>
      </w:rPr>
    </w:lvl>
    <w:lvl w:ilvl="4" w:tplc="18A4C0C8">
      <w:start w:val="1"/>
      <w:numFmt w:val="bullet"/>
      <w:pStyle w:val="SeznamsodrkamiB5"/>
      <w:lvlText w:val=""/>
      <w:lvlJc w:val="left"/>
      <w:pPr>
        <w:ind w:left="1785" w:hanging="357"/>
      </w:pPr>
      <w:rPr>
        <w:rFonts w:hint="default" w:ascii="Wingdings 2" w:hAnsi="Wingdings 2"/>
      </w:rPr>
    </w:lvl>
    <w:lvl w:ilvl="5" w:tplc="500690D2">
      <w:start w:val="1"/>
      <w:numFmt w:val="bullet"/>
      <w:lvlText w:val=""/>
      <w:lvlJc w:val="left"/>
      <w:pPr>
        <w:ind w:left="2142" w:hanging="357"/>
      </w:pPr>
      <w:rPr>
        <w:rFonts w:hint="default" w:ascii="Wingdings 2" w:hAnsi="Wingdings 2" w:cs="Times New Roman"/>
      </w:rPr>
    </w:lvl>
    <w:lvl w:ilvl="6" w:tplc="51963CDC">
      <w:start w:val="1"/>
      <w:numFmt w:val="bullet"/>
      <w:lvlText w:val=""/>
      <w:lvlJc w:val="left"/>
      <w:pPr>
        <w:ind w:left="2499" w:hanging="357"/>
      </w:pPr>
      <w:rPr>
        <w:rFonts w:hint="default" w:ascii="Wingdings 2" w:hAnsi="Wingdings 2" w:cs="Times New Roman"/>
      </w:rPr>
    </w:lvl>
    <w:lvl w:ilvl="7" w:tplc="3FDC52E4">
      <w:start w:val="1"/>
      <w:numFmt w:val="bullet"/>
      <w:lvlText w:val=""/>
      <w:lvlJc w:val="left"/>
      <w:pPr>
        <w:ind w:left="2856" w:hanging="357"/>
      </w:pPr>
      <w:rPr>
        <w:rFonts w:hint="default" w:ascii="Wingdings 2" w:hAnsi="Wingdings 2" w:cs="Times New Roman"/>
      </w:rPr>
    </w:lvl>
    <w:lvl w:ilvl="8" w:tplc="448C3EB8">
      <w:start w:val="1"/>
      <w:numFmt w:val="bullet"/>
      <w:lvlText w:val=""/>
      <w:lvlJc w:val="left"/>
      <w:pPr>
        <w:ind w:left="3213" w:hanging="357"/>
      </w:pPr>
      <w:rPr>
        <w:rFonts w:hint="default" w:ascii="Wingdings 2" w:hAnsi="Wingdings 2" w:cs="Times New Roman"/>
      </w:rPr>
    </w:lvl>
  </w:abstractNum>
  <w:abstractNum w:abstractNumId="7" w15:restartNumberingAfterBreak="0">
    <w:nsid w:val="191872DA"/>
    <w:multiLevelType w:val="multilevel"/>
    <w:tmpl w:val="29EA72CE"/>
    <w:numStyleLink w:val="VariantaA-sla"/>
  </w:abstractNum>
  <w:abstractNum w:abstractNumId="8" w15:restartNumberingAfterBreak="0">
    <w:nsid w:val="19E35ABB"/>
    <w:multiLevelType w:val="hybridMultilevel"/>
    <w:tmpl w:val="F5B6FC5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A1C6C70"/>
    <w:multiLevelType w:val="multilevel"/>
    <w:tmpl w:val="BAAE409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9F5E1B"/>
    <w:multiLevelType w:val="hybridMultilevel"/>
    <w:tmpl w:val="E7C2872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36C1287"/>
    <w:multiLevelType w:val="hybridMultilevel"/>
    <w:tmpl w:val="13B8C824"/>
    <w:lvl w:ilvl="0" w:tplc="F2101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AC91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90D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62F4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C020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38A2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4208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0661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A24F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CA4367"/>
    <w:multiLevelType w:val="hybridMultilevel"/>
    <w:tmpl w:val="42ECE9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A5EA2"/>
    <w:multiLevelType w:val="hybridMultilevel"/>
    <w:tmpl w:val="E8BAE50A"/>
    <w:numStyleLink w:val="VariantaA-odrky"/>
  </w:abstractNum>
  <w:abstractNum w:abstractNumId="14" w15:restartNumberingAfterBreak="0">
    <w:nsid w:val="2A217518"/>
    <w:multiLevelType w:val="hybridMultilevel"/>
    <w:tmpl w:val="DDB4C38A"/>
    <w:lvl w:ilvl="0" w:tplc="FC7A7C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F3849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AF861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259AD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20EC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DB4A39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B923E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0CBC0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B0124D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5" w15:restartNumberingAfterBreak="0">
    <w:nsid w:val="2EBC2FCA"/>
    <w:multiLevelType w:val="hybridMultilevel"/>
    <w:tmpl w:val="4120D2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40296"/>
    <w:multiLevelType w:val="hybridMultilevel"/>
    <w:tmpl w:val="DCE6E63E"/>
    <w:lvl w:ilvl="0" w:tplc="6054EA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5FF83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205E2B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B3C87F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D1006B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A8427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0D428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FAE6F3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C643A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7" w15:restartNumberingAfterBreak="0">
    <w:nsid w:val="31E14069"/>
    <w:multiLevelType w:val="hybridMultilevel"/>
    <w:tmpl w:val="698A4C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E37B2"/>
    <w:multiLevelType w:val="hybridMultilevel"/>
    <w:tmpl w:val="C548F906"/>
    <w:lvl w:ilvl="0" w:tplc="E5300F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01020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EFAC51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88F0B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6FAEE9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95EE33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72ABD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3E6AE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6A6C2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9" w15:restartNumberingAfterBreak="0">
    <w:nsid w:val="32C851E3"/>
    <w:multiLevelType w:val="hybridMultilevel"/>
    <w:tmpl w:val="70FE4E00"/>
    <w:lvl w:ilvl="0" w:tplc="EEB40F74">
      <w:start w:val="1"/>
      <w:numFmt w:val="decimal"/>
      <w:lvlText w:val="%1."/>
      <w:lvlJc w:val="left"/>
      <w:pPr>
        <w:ind w:left="720" w:hanging="360"/>
      </w:pPr>
    </w:lvl>
    <w:lvl w:ilvl="1" w:tplc="49F0012C">
      <w:start w:val="1"/>
      <w:numFmt w:val="lowerLetter"/>
      <w:lvlText w:val="%2."/>
      <w:lvlJc w:val="left"/>
      <w:pPr>
        <w:ind w:left="1440" w:hanging="360"/>
      </w:pPr>
    </w:lvl>
    <w:lvl w:ilvl="2" w:tplc="62C6AADA">
      <w:start w:val="1"/>
      <w:numFmt w:val="lowerRoman"/>
      <w:lvlText w:val="%3."/>
      <w:lvlJc w:val="right"/>
      <w:pPr>
        <w:ind w:left="2160" w:hanging="180"/>
      </w:pPr>
    </w:lvl>
    <w:lvl w:ilvl="3" w:tplc="0FD83D58">
      <w:start w:val="1"/>
      <w:numFmt w:val="decimal"/>
      <w:lvlText w:val="%4."/>
      <w:lvlJc w:val="left"/>
      <w:pPr>
        <w:ind w:left="2880" w:hanging="360"/>
      </w:pPr>
    </w:lvl>
    <w:lvl w:ilvl="4" w:tplc="EDF4326A">
      <w:start w:val="1"/>
      <w:numFmt w:val="lowerLetter"/>
      <w:lvlText w:val="%5."/>
      <w:lvlJc w:val="left"/>
      <w:pPr>
        <w:ind w:left="3600" w:hanging="360"/>
      </w:pPr>
    </w:lvl>
    <w:lvl w:ilvl="5" w:tplc="58DA2666">
      <w:start w:val="1"/>
      <w:numFmt w:val="lowerRoman"/>
      <w:lvlText w:val="%6."/>
      <w:lvlJc w:val="right"/>
      <w:pPr>
        <w:ind w:left="4320" w:hanging="180"/>
      </w:pPr>
    </w:lvl>
    <w:lvl w:ilvl="6" w:tplc="7130C758">
      <w:start w:val="1"/>
      <w:numFmt w:val="decimal"/>
      <w:lvlText w:val="%7."/>
      <w:lvlJc w:val="left"/>
      <w:pPr>
        <w:ind w:left="5040" w:hanging="360"/>
      </w:pPr>
    </w:lvl>
    <w:lvl w:ilvl="7" w:tplc="343A01E0">
      <w:start w:val="1"/>
      <w:numFmt w:val="lowerLetter"/>
      <w:lvlText w:val="%8."/>
      <w:lvlJc w:val="left"/>
      <w:pPr>
        <w:ind w:left="5760" w:hanging="360"/>
      </w:pPr>
    </w:lvl>
    <w:lvl w:ilvl="8" w:tplc="41142C8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B67B0"/>
    <w:multiLevelType w:val="hybridMultilevel"/>
    <w:tmpl w:val="4404AA4A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67033CE"/>
    <w:multiLevelType w:val="hybridMultilevel"/>
    <w:tmpl w:val="34AE547E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6E22B07"/>
    <w:multiLevelType w:val="hybridMultilevel"/>
    <w:tmpl w:val="A76ED2B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C5C4A24"/>
    <w:multiLevelType w:val="hybridMultilevel"/>
    <w:tmpl w:val="2AAC851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481EF9"/>
    <w:multiLevelType w:val="hybridMultilevel"/>
    <w:tmpl w:val="E5406686"/>
    <w:lvl w:ilvl="0" w:tplc="81867FFC">
      <w:start w:val="1"/>
      <w:numFmt w:val="decimal"/>
      <w:lvlText w:val="%1."/>
      <w:lvlJc w:val="left"/>
      <w:pPr>
        <w:ind w:left="720" w:hanging="360"/>
      </w:pPr>
    </w:lvl>
    <w:lvl w:ilvl="1" w:tplc="47D89B54">
      <w:start w:val="1"/>
      <w:numFmt w:val="lowerLetter"/>
      <w:lvlText w:val="%2."/>
      <w:lvlJc w:val="left"/>
      <w:pPr>
        <w:ind w:left="1440" w:hanging="360"/>
      </w:pPr>
    </w:lvl>
    <w:lvl w:ilvl="2" w:tplc="6798BFD0">
      <w:start w:val="1"/>
      <w:numFmt w:val="lowerRoman"/>
      <w:lvlText w:val="%3."/>
      <w:lvlJc w:val="right"/>
      <w:pPr>
        <w:ind w:left="2160" w:hanging="180"/>
      </w:pPr>
    </w:lvl>
    <w:lvl w:ilvl="3" w:tplc="051EC876">
      <w:start w:val="1"/>
      <w:numFmt w:val="decimal"/>
      <w:lvlText w:val="%4."/>
      <w:lvlJc w:val="left"/>
      <w:pPr>
        <w:ind w:left="2880" w:hanging="360"/>
      </w:pPr>
    </w:lvl>
    <w:lvl w:ilvl="4" w:tplc="D280F238">
      <w:start w:val="1"/>
      <w:numFmt w:val="lowerLetter"/>
      <w:lvlText w:val="%5."/>
      <w:lvlJc w:val="left"/>
      <w:pPr>
        <w:ind w:left="3600" w:hanging="360"/>
      </w:pPr>
    </w:lvl>
    <w:lvl w:ilvl="5" w:tplc="1052614A">
      <w:start w:val="1"/>
      <w:numFmt w:val="lowerRoman"/>
      <w:lvlText w:val="%6."/>
      <w:lvlJc w:val="right"/>
      <w:pPr>
        <w:ind w:left="4320" w:hanging="180"/>
      </w:pPr>
    </w:lvl>
    <w:lvl w:ilvl="6" w:tplc="CD34DE6A">
      <w:start w:val="1"/>
      <w:numFmt w:val="decimal"/>
      <w:lvlText w:val="%7."/>
      <w:lvlJc w:val="left"/>
      <w:pPr>
        <w:ind w:left="5040" w:hanging="360"/>
      </w:pPr>
    </w:lvl>
    <w:lvl w:ilvl="7" w:tplc="32D6AF8E">
      <w:start w:val="1"/>
      <w:numFmt w:val="lowerLetter"/>
      <w:lvlText w:val="%8."/>
      <w:lvlJc w:val="left"/>
      <w:pPr>
        <w:ind w:left="5760" w:hanging="360"/>
      </w:pPr>
    </w:lvl>
    <w:lvl w:ilvl="8" w:tplc="5AE450CE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9775E"/>
    <w:multiLevelType w:val="hybridMultilevel"/>
    <w:tmpl w:val="0D8ABE32"/>
    <w:styleLink w:val="VariantaB-sla"/>
    <w:lvl w:ilvl="0" w:tplc="F86E574A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 w:tplc="0AD047B6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 w:tplc="74DC8EC6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 w:tplc="B0264238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 w:tplc="D93EE33A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 w:tplc="D60C16D8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F1CBCAC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512275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6D6E85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2E1536A"/>
    <w:multiLevelType w:val="hybridMultilevel"/>
    <w:tmpl w:val="9B9AF43C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3E001B2"/>
    <w:multiLevelType w:val="hybridMultilevel"/>
    <w:tmpl w:val="593856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26625"/>
    <w:multiLevelType w:val="hybridMultilevel"/>
    <w:tmpl w:val="C56C3D8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60F34E6"/>
    <w:multiLevelType w:val="hybridMultilevel"/>
    <w:tmpl w:val="C680A2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A321E4"/>
    <w:multiLevelType w:val="hybridMultilevel"/>
    <w:tmpl w:val="E8BAE50A"/>
    <w:styleLink w:val="VariantaA-odrky"/>
    <w:lvl w:ilvl="0" w:tplc="50203DD2">
      <w:start w:val="1"/>
      <w:numFmt w:val="bullet"/>
      <w:pStyle w:val="Seznamsodrkami"/>
      <w:lvlText w:val=""/>
      <w:lvlJc w:val="left"/>
      <w:pPr>
        <w:ind w:left="357" w:hanging="357"/>
      </w:pPr>
      <w:rPr>
        <w:rFonts w:hint="default" w:ascii="Wingdings" w:hAnsi="Wingdings"/>
        <w:sz w:val="16"/>
      </w:rPr>
    </w:lvl>
    <w:lvl w:ilvl="1" w:tplc="31B0BE40">
      <w:start w:val="1"/>
      <w:numFmt w:val="bullet"/>
      <w:pStyle w:val="Seznamsodrkami2"/>
      <w:lvlText w:val=""/>
      <w:lvlJc w:val="left"/>
      <w:pPr>
        <w:ind w:left="714" w:hanging="357"/>
      </w:pPr>
      <w:rPr>
        <w:rFonts w:hint="default" w:ascii="Wingdings" w:hAnsi="Wingdings"/>
        <w:sz w:val="14"/>
      </w:rPr>
    </w:lvl>
    <w:lvl w:ilvl="2" w:tplc="0D70C60A">
      <w:start w:val="1"/>
      <w:numFmt w:val="bullet"/>
      <w:pStyle w:val="Seznamsodrkami3"/>
      <w:lvlText w:val=""/>
      <w:lvlJc w:val="left"/>
      <w:pPr>
        <w:ind w:left="1071" w:hanging="357"/>
      </w:pPr>
      <w:rPr>
        <w:rFonts w:hint="default" w:ascii="Wingdings" w:hAnsi="Wingdings"/>
        <w:sz w:val="10"/>
      </w:rPr>
    </w:lvl>
    <w:lvl w:ilvl="3" w:tplc="181E8C02">
      <w:start w:val="1"/>
      <w:numFmt w:val="bullet"/>
      <w:pStyle w:val="Seznamsodrkami4"/>
      <w:lvlText w:val=""/>
      <w:lvlJc w:val="left"/>
      <w:pPr>
        <w:ind w:left="1428" w:hanging="357"/>
      </w:pPr>
      <w:rPr>
        <w:rFonts w:hint="default" w:ascii="Wingdings" w:hAnsi="Wingdings"/>
        <w:sz w:val="10"/>
      </w:rPr>
    </w:lvl>
    <w:lvl w:ilvl="4" w:tplc="D2E63CCE">
      <w:start w:val="1"/>
      <w:numFmt w:val="bullet"/>
      <w:pStyle w:val="Seznamsodrkami5"/>
      <w:lvlText w:val=""/>
      <w:lvlJc w:val="left"/>
      <w:pPr>
        <w:ind w:left="1785" w:hanging="357"/>
      </w:pPr>
      <w:rPr>
        <w:rFonts w:hint="default" w:ascii="Wingdings" w:hAnsi="Wingdings"/>
        <w:sz w:val="10"/>
      </w:rPr>
    </w:lvl>
    <w:lvl w:ilvl="5" w:tplc="03120DDE">
      <w:start w:val="1"/>
      <w:numFmt w:val="bullet"/>
      <w:lvlText w:val=""/>
      <w:lvlJc w:val="left"/>
      <w:pPr>
        <w:ind w:left="2142" w:hanging="357"/>
      </w:pPr>
      <w:rPr>
        <w:rFonts w:hint="default" w:ascii="Wingdings" w:hAnsi="Wingdings"/>
        <w:sz w:val="10"/>
      </w:rPr>
    </w:lvl>
    <w:lvl w:ilvl="6" w:tplc="6716507A">
      <w:start w:val="1"/>
      <w:numFmt w:val="bullet"/>
      <w:lvlText w:val=""/>
      <w:lvlJc w:val="left"/>
      <w:pPr>
        <w:ind w:left="2499" w:hanging="357"/>
      </w:pPr>
      <w:rPr>
        <w:rFonts w:hint="default" w:ascii="Wingdings" w:hAnsi="Wingdings"/>
        <w:sz w:val="10"/>
      </w:rPr>
    </w:lvl>
    <w:lvl w:ilvl="7" w:tplc="D3FC1B52">
      <w:start w:val="1"/>
      <w:numFmt w:val="bullet"/>
      <w:lvlText w:val=""/>
      <w:lvlJc w:val="left"/>
      <w:pPr>
        <w:ind w:left="2856" w:hanging="357"/>
      </w:pPr>
      <w:rPr>
        <w:rFonts w:hint="default" w:ascii="Wingdings" w:hAnsi="Wingdings"/>
        <w:sz w:val="10"/>
      </w:rPr>
    </w:lvl>
    <w:lvl w:ilvl="8" w:tplc="6DD855E0">
      <w:start w:val="1"/>
      <w:numFmt w:val="bullet"/>
      <w:lvlText w:val=""/>
      <w:lvlJc w:val="left"/>
      <w:pPr>
        <w:ind w:left="3213" w:hanging="357"/>
      </w:pPr>
      <w:rPr>
        <w:rFonts w:hint="default" w:ascii="Wingdings" w:hAnsi="Wingdings"/>
        <w:color w:val="000000" w:themeColor="text1"/>
        <w:sz w:val="10"/>
      </w:rPr>
    </w:lvl>
  </w:abstractNum>
  <w:abstractNum w:abstractNumId="31" w15:restartNumberingAfterBreak="0">
    <w:nsid w:val="5AF35F43"/>
    <w:multiLevelType w:val="hybridMultilevel"/>
    <w:tmpl w:val="0D8ABE32"/>
    <w:numStyleLink w:val="VariantaB-sla"/>
  </w:abstractNum>
  <w:abstractNum w:abstractNumId="32" w15:restartNumberingAfterBreak="0">
    <w:nsid w:val="6423642A"/>
    <w:multiLevelType w:val="hybridMultilevel"/>
    <w:tmpl w:val="B836695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66048FE"/>
    <w:multiLevelType w:val="hybridMultilevel"/>
    <w:tmpl w:val="FB78BE48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6AE6AC8"/>
    <w:multiLevelType w:val="hybridMultilevel"/>
    <w:tmpl w:val="63AC32AE"/>
    <w:lvl w:ilvl="0" w:tplc="A244A40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821A06"/>
    <w:multiLevelType w:val="hybridMultilevel"/>
    <w:tmpl w:val="1F8C9B9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3DB60B9"/>
    <w:multiLevelType w:val="multilevel"/>
    <w:tmpl w:val="AD401D0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7A95E50"/>
    <w:multiLevelType w:val="hybridMultilevel"/>
    <w:tmpl w:val="C5A4C18C"/>
    <w:lvl w:ilvl="0" w:tplc="0405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38" w15:restartNumberingAfterBreak="0">
    <w:nsid w:val="7C2F747D"/>
    <w:multiLevelType w:val="hybridMultilevel"/>
    <w:tmpl w:val="7FCC3282"/>
    <w:lvl w:ilvl="0" w:tplc="F12480C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6F021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623006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888EC0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D6E4B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E02276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0F4D492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B12AC0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D49726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766823"/>
    <w:multiLevelType w:val="hybridMultilevel"/>
    <w:tmpl w:val="B718CA96"/>
    <w:lvl w:ilvl="0" w:tplc="24D0C654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C469E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68E860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6DE8D0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15C3A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8E5318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D9AD694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2CADE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14BA3A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EF3ACC"/>
    <w:multiLevelType w:val="multilevel"/>
    <w:tmpl w:val="B26673F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42">
    <w:abstractNumId w:val="41"/>
  </w:num>
  <w:num w:numId="1">
    <w:abstractNumId w:val="24"/>
  </w:num>
  <w:num w:numId="2">
    <w:abstractNumId w:val="19"/>
  </w:num>
  <w:num w:numId="3">
    <w:abstractNumId w:val="6"/>
  </w:num>
  <w:num w:numId="4">
    <w:abstractNumId w:val="30"/>
  </w:num>
  <w:num w:numId="5">
    <w:abstractNumId w:val="25"/>
  </w:num>
  <w:num w:numId="6">
    <w:abstractNumId w:val="2"/>
  </w:num>
  <w:num w:numId="7">
    <w:abstractNumId w:val="31"/>
  </w:num>
  <w:num w:numId="8">
    <w:abstractNumId w:val="13"/>
  </w:num>
  <w:num w:numId="9">
    <w:abstractNumId w:val="7"/>
  </w:num>
  <w:num w:numId="10">
    <w:abstractNumId w:val="5"/>
  </w:num>
  <w:num w:numId="11">
    <w:abstractNumId w:val="26"/>
  </w:num>
  <w:num w:numId="12">
    <w:abstractNumId w:val="20"/>
  </w:num>
  <w:num w:numId="13">
    <w:abstractNumId w:val="10"/>
  </w:num>
  <w:num w:numId="14">
    <w:abstractNumId w:val="32"/>
  </w:num>
  <w:num w:numId="15">
    <w:abstractNumId w:val="28"/>
  </w:num>
  <w:num w:numId="16">
    <w:abstractNumId w:val="33"/>
  </w:num>
  <w:num w:numId="17">
    <w:abstractNumId w:val="35"/>
  </w:num>
  <w:num w:numId="18">
    <w:abstractNumId w:val="27"/>
  </w:num>
  <w:num w:numId="19">
    <w:abstractNumId w:val="4"/>
  </w:num>
  <w:num w:numId="20">
    <w:abstractNumId w:val="8"/>
  </w:num>
  <w:num w:numId="21">
    <w:abstractNumId w:val="15"/>
  </w:num>
  <w:num w:numId="22">
    <w:abstractNumId w:val="29"/>
  </w:num>
  <w:num w:numId="23">
    <w:abstractNumId w:val="12"/>
  </w:num>
  <w:num w:numId="24">
    <w:abstractNumId w:val="17"/>
  </w:num>
  <w:num w:numId="25">
    <w:abstractNumId w:val="23"/>
  </w:num>
  <w:num w:numId="26">
    <w:abstractNumId w:val="3"/>
  </w:num>
  <w:num w:numId="27">
    <w:abstractNumId w:val="18"/>
  </w:num>
  <w:num w:numId="28">
    <w:abstractNumId w:val="16"/>
  </w:num>
  <w:num w:numId="29">
    <w:abstractNumId w:val="14"/>
  </w:num>
  <w:num w:numId="30">
    <w:abstractNumId w:val="22"/>
  </w:num>
  <w:num w:numId="31">
    <w:abstractNumId w:val="34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37"/>
  </w:num>
  <w:num w:numId="40">
    <w:abstractNumId w:val="1"/>
  </w:num>
  <w:num w:numId="41">
    <w:abstractNumId w:val="0"/>
  </w:num>
  <w:numIdMacAtCleanup w:val="15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removeDateAndTime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trackRevisions w:val="false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0CF"/>
    <w:rsid w:val="000020B6"/>
    <w:rsid w:val="000054E3"/>
    <w:rsid w:val="00006149"/>
    <w:rsid w:val="00012276"/>
    <w:rsid w:val="00015306"/>
    <w:rsid w:val="0002674B"/>
    <w:rsid w:val="00030685"/>
    <w:rsid w:val="000312D9"/>
    <w:rsid w:val="000318FB"/>
    <w:rsid w:val="00032719"/>
    <w:rsid w:val="0004162E"/>
    <w:rsid w:val="000421C0"/>
    <w:rsid w:val="0004786B"/>
    <w:rsid w:val="00057173"/>
    <w:rsid w:val="00060AB1"/>
    <w:rsid w:val="00063405"/>
    <w:rsid w:val="00064320"/>
    <w:rsid w:val="000662EA"/>
    <w:rsid w:val="00070134"/>
    <w:rsid w:val="00074B55"/>
    <w:rsid w:val="000809B9"/>
    <w:rsid w:val="00081843"/>
    <w:rsid w:val="00083DF4"/>
    <w:rsid w:val="00090B40"/>
    <w:rsid w:val="00095A0A"/>
    <w:rsid w:val="00095D2A"/>
    <w:rsid w:val="00095EBD"/>
    <w:rsid w:val="00097FB2"/>
    <w:rsid w:val="000A06F5"/>
    <w:rsid w:val="000A30C5"/>
    <w:rsid w:val="000A30FC"/>
    <w:rsid w:val="000B1B3D"/>
    <w:rsid w:val="000B4D24"/>
    <w:rsid w:val="000B656E"/>
    <w:rsid w:val="000C0598"/>
    <w:rsid w:val="000C4CAF"/>
    <w:rsid w:val="000C5199"/>
    <w:rsid w:val="000C5380"/>
    <w:rsid w:val="000C6AE7"/>
    <w:rsid w:val="000D64C0"/>
    <w:rsid w:val="000D652B"/>
    <w:rsid w:val="000E2207"/>
    <w:rsid w:val="000F0BB0"/>
    <w:rsid w:val="000F1328"/>
    <w:rsid w:val="000F1598"/>
    <w:rsid w:val="000F2C6D"/>
    <w:rsid w:val="000F404E"/>
    <w:rsid w:val="000F63B9"/>
    <w:rsid w:val="00120540"/>
    <w:rsid w:val="00121111"/>
    <w:rsid w:val="00121485"/>
    <w:rsid w:val="001268B0"/>
    <w:rsid w:val="001310F9"/>
    <w:rsid w:val="00131CE7"/>
    <w:rsid w:val="001343E7"/>
    <w:rsid w:val="00134982"/>
    <w:rsid w:val="0014159B"/>
    <w:rsid w:val="00144D38"/>
    <w:rsid w:val="0015052B"/>
    <w:rsid w:val="00151134"/>
    <w:rsid w:val="00154B73"/>
    <w:rsid w:val="00163959"/>
    <w:rsid w:val="001745AA"/>
    <w:rsid w:val="0017758B"/>
    <w:rsid w:val="001777B3"/>
    <w:rsid w:val="0018051B"/>
    <w:rsid w:val="001869AB"/>
    <w:rsid w:val="00190689"/>
    <w:rsid w:val="001A2A9E"/>
    <w:rsid w:val="001A32A8"/>
    <w:rsid w:val="001A507F"/>
    <w:rsid w:val="001B1E4A"/>
    <w:rsid w:val="001B58AA"/>
    <w:rsid w:val="001C093B"/>
    <w:rsid w:val="001C1029"/>
    <w:rsid w:val="001C4DFD"/>
    <w:rsid w:val="001D27C0"/>
    <w:rsid w:val="001D6977"/>
    <w:rsid w:val="001E4962"/>
    <w:rsid w:val="001E58E8"/>
    <w:rsid w:val="001E74C3"/>
    <w:rsid w:val="001F3CAF"/>
    <w:rsid w:val="001F6937"/>
    <w:rsid w:val="002059FE"/>
    <w:rsid w:val="00205D9B"/>
    <w:rsid w:val="00207688"/>
    <w:rsid w:val="00207FC3"/>
    <w:rsid w:val="00216373"/>
    <w:rsid w:val="00216B98"/>
    <w:rsid w:val="0021792E"/>
    <w:rsid w:val="00220C70"/>
    <w:rsid w:val="00220DE3"/>
    <w:rsid w:val="00236A82"/>
    <w:rsid w:val="00237CBB"/>
    <w:rsid w:val="002424D3"/>
    <w:rsid w:val="00245A82"/>
    <w:rsid w:val="00246021"/>
    <w:rsid w:val="0025290D"/>
    <w:rsid w:val="0025784E"/>
    <w:rsid w:val="00260372"/>
    <w:rsid w:val="00262DAF"/>
    <w:rsid w:val="00271F0F"/>
    <w:rsid w:val="002721CD"/>
    <w:rsid w:val="002765E6"/>
    <w:rsid w:val="002839FC"/>
    <w:rsid w:val="00285AED"/>
    <w:rsid w:val="002B2226"/>
    <w:rsid w:val="002B5375"/>
    <w:rsid w:val="002B5A72"/>
    <w:rsid w:val="002B65DF"/>
    <w:rsid w:val="002C20CF"/>
    <w:rsid w:val="002C4FCC"/>
    <w:rsid w:val="002D2B80"/>
    <w:rsid w:val="002D6385"/>
    <w:rsid w:val="002E0D11"/>
    <w:rsid w:val="002E19BA"/>
    <w:rsid w:val="002E2442"/>
    <w:rsid w:val="002F0E8C"/>
    <w:rsid w:val="002F4F40"/>
    <w:rsid w:val="0030086D"/>
    <w:rsid w:val="00301541"/>
    <w:rsid w:val="00304970"/>
    <w:rsid w:val="00310FA0"/>
    <w:rsid w:val="00313ECE"/>
    <w:rsid w:val="00320481"/>
    <w:rsid w:val="00321F02"/>
    <w:rsid w:val="003250CB"/>
    <w:rsid w:val="00333A9E"/>
    <w:rsid w:val="00336035"/>
    <w:rsid w:val="00351CAF"/>
    <w:rsid w:val="0035265B"/>
    <w:rsid w:val="0035523A"/>
    <w:rsid w:val="003603EE"/>
    <w:rsid w:val="00363201"/>
    <w:rsid w:val="0036402F"/>
    <w:rsid w:val="0037455E"/>
    <w:rsid w:val="003820C7"/>
    <w:rsid w:val="00384A07"/>
    <w:rsid w:val="0038545E"/>
    <w:rsid w:val="003869DF"/>
    <w:rsid w:val="0039063C"/>
    <w:rsid w:val="003920A6"/>
    <w:rsid w:val="003A46A8"/>
    <w:rsid w:val="003A51AA"/>
    <w:rsid w:val="003A7947"/>
    <w:rsid w:val="003B0E92"/>
    <w:rsid w:val="003B245B"/>
    <w:rsid w:val="003B565A"/>
    <w:rsid w:val="003C0D48"/>
    <w:rsid w:val="003C1E9D"/>
    <w:rsid w:val="003D00A1"/>
    <w:rsid w:val="003D3067"/>
    <w:rsid w:val="003E120E"/>
    <w:rsid w:val="003F3AF2"/>
    <w:rsid w:val="003F6790"/>
    <w:rsid w:val="003F7D17"/>
    <w:rsid w:val="004017BD"/>
    <w:rsid w:val="00405422"/>
    <w:rsid w:val="00406F2B"/>
    <w:rsid w:val="00407120"/>
    <w:rsid w:val="0041316B"/>
    <w:rsid w:val="0041427F"/>
    <w:rsid w:val="00417F9E"/>
    <w:rsid w:val="00421294"/>
    <w:rsid w:val="004263B1"/>
    <w:rsid w:val="004275B8"/>
    <w:rsid w:val="00437689"/>
    <w:rsid w:val="004452D3"/>
    <w:rsid w:val="004509E5"/>
    <w:rsid w:val="00455F8D"/>
    <w:rsid w:val="00456AD8"/>
    <w:rsid w:val="0046426E"/>
    <w:rsid w:val="004779DF"/>
    <w:rsid w:val="004800C7"/>
    <w:rsid w:val="00486FB9"/>
    <w:rsid w:val="004877B1"/>
    <w:rsid w:val="00492F1E"/>
    <w:rsid w:val="00493245"/>
    <w:rsid w:val="00493F79"/>
    <w:rsid w:val="004C0E2B"/>
    <w:rsid w:val="004C212A"/>
    <w:rsid w:val="004CD230"/>
    <w:rsid w:val="004E3BFD"/>
    <w:rsid w:val="004E506D"/>
    <w:rsid w:val="004E6019"/>
    <w:rsid w:val="004F11FA"/>
    <w:rsid w:val="004F56D9"/>
    <w:rsid w:val="00500232"/>
    <w:rsid w:val="005015C4"/>
    <w:rsid w:val="00502CAE"/>
    <w:rsid w:val="005031B0"/>
    <w:rsid w:val="00504668"/>
    <w:rsid w:val="00504DF6"/>
    <w:rsid w:val="00505EBF"/>
    <w:rsid w:val="00507E31"/>
    <w:rsid w:val="005119E2"/>
    <w:rsid w:val="00514E0A"/>
    <w:rsid w:val="005245EE"/>
    <w:rsid w:val="00526653"/>
    <w:rsid w:val="005307DD"/>
    <w:rsid w:val="005345C4"/>
    <w:rsid w:val="00536992"/>
    <w:rsid w:val="005455E1"/>
    <w:rsid w:val="00550250"/>
    <w:rsid w:val="005502BD"/>
    <w:rsid w:val="00556787"/>
    <w:rsid w:val="005627E9"/>
    <w:rsid w:val="00562EA5"/>
    <w:rsid w:val="00582276"/>
    <w:rsid w:val="005851BD"/>
    <w:rsid w:val="00586036"/>
    <w:rsid w:val="00587A19"/>
    <w:rsid w:val="0059057A"/>
    <w:rsid w:val="0059432D"/>
    <w:rsid w:val="005B0052"/>
    <w:rsid w:val="005B0632"/>
    <w:rsid w:val="005B0EE3"/>
    <w:rsid w:val="005B3F5C"/>
    <w:rsid w:val="005B7B2B"/>
    <w:rsid w:val="005C2560"/>
    <w:rsid w:val="005C4AD7"/>
    <w:rsid w:val="005D1A33"/>
    <w:rsid w:val="005E44E2"/>
    <w:rsid w:val="005E45F5"/>
    <w:rsid w:val="005F5EFF"/>
    <w:rsid w:val="005F7585"/>
    <w:rsid w:val="00603DA9"/>
    <w:rsid w:val="00605759"/>
    <w:rsid w:val="006074A6"/>
    <w:rsid w:val="0061255F"/>
    <w:rsid w:val="00613B65"/>
    <w:rsid w:val="006223AD"/>
    <w:rsid w:val="00626143"/>
    <w:rsid w:val="00633D0C"/>
    <w:rsid w:val="0064124C"/>
    <w:rsid w:val="006420F5"/>
    <w:rsid w:val="00650C6C"/>
    <w:rsid w:val="00652FE6"/>
    <w:rsid w:val="0066067E"/>
    <w:rsid w:val="00660826"/>
    <w:rsid w:val="00667898"/>
    <w:rsid w:val="00677DF6"/>
    <w:rsid w:val="00677FE0"/>
    <w:rsid w:val="00680996"/>
    <w:rsid w:val="006953C3"/>
    <w:rsid w:val="006A4922"/>
    <w:rsid w:val="006A73BB"/>
    <w:rsid w:val="006B6764"/>
    <w:rsid w:val="006C0197"/>
    <w:rsid w:val="006C2CC3"/>
    <w:rsid w:val="006C30EB"/>
    <w:rsid w:val="006C7199"/>
    <w:rsid w:val="006D04EF"/>
    <w:rsid w:val="006E0317"/>
    <w:rsid w:val="006E0EF7"/>
    <w:rsid w:val="006E2FB0"/>
    <w:rsid w:val="006E7A2D"/>
    <w:rsid w:val="006F1BEA"/>
    <w:rsid w:val="006F5196"/>
    <w:rsid w:val="006F7C06"/>
    <w:rsid w:val="00706CA9"/>
    <w:rsid w:val="007102D2"/>
    <w:rsid w:val="00712D72"/>
    <w:rsid w:val="00713948"/>
    <w:rsid w:val="007174B7"/>
    <w:rsid w:val="00717FD9"/>
    <w:rsid w:val="00720C51"/>
    <w:rsid w:val="00724ED6"/>
    <w:rsid w:val="0072734C"/>
    <w:rsid w:val="00741CFD"/>
    <w:rsid w:val="00742093"/>
    <w:rsid w:val="00742DD3"/>
    <w:rsid w:val="007500F7"/>
    <w:rsid w:val="00752767"/>
    <w:rsid w:val="00753A27"/>
    <w:rsid w:val="00755770"/>
    <w:rsid w:val="00762D8B"/>
    <w:rsid w:val="00763455"/>
    <w:rsid w:val="00773058"/>
    <w:rsid w:val="007825D5"/>
    <w:rsid w:val="0078665F"/>
    <w:rsid w:val="0079342A"/>
    <w:rsid w:val="007A2737"/>
    <w:rsid w:val="007B4949"/>
    <w:rsid w:val="007B52A8"/>
    <w:rsid w:val="007C012D"/>
    <w:rsid w:val="007C0655"/>
    <w:rsid w:val="007C0788"/>
    <w:rsid w:val="007C342A"/>
    <w:rsid w:val="007C6039"/>
    <w:rsid w:val="007C6A25"/>
    <w:rsid w:val="007D418D"/>
    <w:rsid w:val="007D471A"/>
    <w:rsid w:val="007D70DE"/>
    <w:rsid w:val="007E5213"/>
    <w:rsid w:val="007E55C0"/>
    <w:rsid w:val="007F0BC6"/>
    <w:rsid w:val="007F7208"/>
    <w:rsid w:val="008012E9"/>
    <w:rsid w:val="00802D45"/>
    <w:rsid w:val="00817792"/>
    <w:rsid w:val="00821D0B"/>
    <w:rsid w:val="00827525"/>
    <w:rsid w:val="008307FE"/>
    <w:rsid w:val="00831374"/>
    <w:rsid w:val="00841886"/>
    <w:rsid w:val="00842E5D"/>
    <w:rsid w:val="00852465"/>
    <w:rsid w:val="0085635B"/>
    <w:rsid w:val="00857580"/>
    <w:rsid w:val="00865238"/>
    <w:rsid w:val="00866685"/>
    <w:rsid w:val="008667BF"/>
    <w:rsid w:val="008673DB"/>
    <w:rsid w:val="00883080"/>
    <w:rsid w:val="0088573D"/>
    <w:rsid w:val="00890276"/>
    <w:rsid w:val="00891C82"/>
    <w:rsid w:val="00895645"/>
    <w:rsid w:val="008A42B9"/>
    <w:rsid w:val="008A7851"/>
    <w:rsid w:val="008B05FB"/>
    <w:rsid w:val="008C0603"/>
    <w:rsid w:val="008C3782"/>
    <w:rsid w:val="008D05A5"/>
    <w:rsid w:val="008D4A32"/>
    <w:rsid w:val="008D593A"/>
    <w:rsid w:val="008D6671"/>
    <w:rsid w:val="008D762A"/>
    <w:rsid w:val="008E7760"/>
    <w:rsid w:val="008F5EBD"/>
    <w:rsid w:val="0091766D"/>
    <w:rsid w:val="00922001"/>
    <w:rsid w:val="00922C17"/>
    <w:rsid w:val="009254C0"/>
    <w:rsid w:val="009325EA"/>
    <w:rsid w:val="009350FB"/>
    <w:rsid w:val="00941192"/>
    <w:rsid w:val="00942DDD"/>
    <w:rsid w:val="00944252"/>
    <w:rsid w:val="009516A8"/>
    <w:rsid w:val="009536A3"/>
    <w:rsid w:val="00956452"/>
    <w:rsid w:val="00964516"/>
    <w:rsid w:val="009648AB"/>
    <w:rsid w:val="00970AA1"/>
    <w:rsid w:val="0097705C"/>
    <w:rsid w:val="0098726B"/>
    <w:rsid w:val="00992741"/>
    <w:rsid w:val="00996DF6"/>
    <w:rsid w:val="009A68C0"/>
    <w:rsid w:val="009A69B5"/>
    <w:rsid w:val="009B500B"/>
    <w:rsid w:val="009B503A"/>
    <w:rsid w:val="009B5523"/>
    <w:rsid w:val="009C04D3"/>
    <w:rsid w:val="009C691A"/>
    <w:rsid w:val="009D59E3"/>
    <w:rsid w:val="009E368A"/>
    <w:rsid w:val="009E49C4"/>
    <w:rsid w:val="009E634F"/>
    <w:rsid w:val="009F393D"/>
    <w:rsid w:val="009F7F46"/>
    <w:rsid w:val="00A000BF"/>
    <w:rsid w:val="00A005F9"/>
    <w:rsid w:val="00A0587E"/>
    <w:rsid w:val="00A10FE4"/>
    <w:rsid w:val="00A16D07"/>
    <w:rsid w:val="00A24C1F"/>
    <w:rsid w:val="00A269E1"/>
    <w:rsid w:val="00A275BC"/>
    <w:rsid w:val="00A302AB"/>
    <w:rsid w:val="00A32041"/>
    <w:rsid w:val="00A32B58"/>
    <w:rsid w:val="00A356B5"/>
    <w:rsid w:val="00A35CE4"/>
    <w:rsid w:val="00A418BC"/>
    <w:rsid w:val="00A464B4"/>
    <w:rsid w:val="00A63D6B"/>
    <w:rsid w:val="00A703C0"/>
    <w:rsid w:val="00A8273E"/>
    <w:rsid w:val="00A84B52"/>
    <w:rsid w:val="00A8598A"/>
    <w:rsid w:val="00A8660F"/>
    <w:rsid w:val="00A87B13"/>
    <w:rsid w:val="00A95C48"/>
    <w:rsid w:val="00A96F3E"/>
    <w:rsid w:val="00AA7056"/>
    <w:rsid w:val="00AB31C6"/>
    <w:rsid w:val="00AB426D"/>
    <w:rsid w:val="00AB523B"/>
    <w:rsid w:val="00AD1F5A"/>
    <w:rsid w:val="00AD67C8"/>
    <w:rsid w:val="00AD7E40"/>
    <w:rsid w:val="00AE59E5"/>
    <w:rsid w:val="00AE69E0"/>
    <w:rsid w:val="00AF2980"/>
    <w:rsid w:val="00AF3BAB"/>
    <w:rsid w:val="00AF4815"/>
    <w:rsid w:val="00AF7CDD"/>
    <w:rsid w:val="00B02924"/>
    <w:rsid w:val="00B02F9D"/>
    <w:rsid w:val="00B06E00"/>
    <w:rsid w:val="00B07CC0"/>
    <w:rsid w:val="00B1114A"/>
    <w:rsid w:val="00B12278"/>
    <w:rsid w:val="00B1477A"/>
    <w:rsid w:val="00B149EE"/>
    <w:rsid w:val="00B15E20"/>
    <w:rsid w:val="00B1729A"/>
    <w:rsid w:val="00B20993"/>
    <w:rsid w:val="00B2204E"/>
    <w:rsid w:val="00B22A99"/>
    <w:rsid w:val="00B26B47"/>
    <w:rsid w:val="00B27EE7"/>
    <w:rsid w:val="00B27F7F"/>
    <w:rsid w:val="00B31350"/>
    <w:rsid w:val="00B314D8"/>
    <w:rsid w:val="00B32B72"/>
    <w:rsid w:val="00B33950"/>
    <w:rsid w:val="00B40121"/>
    <w:rsid w:val="00B42E96"/>
    <w:rsid w:val="00B50EE6"/>
    <w:rsid w:val="00B52185"/>
    <w:rsid w:val="00B6084E"/>
    <w:rsid w:val="00B72A4C"/>
    <w:rsid w:val="00B770F2"/>
    <w:rsid w:val="00B86167"/>
    <w:rsid w:val="00B9060C"/>
    <w:rsid w:val="00B942B1"/>
    <w:rsid w:val="00B94A2A"/>
    <w:rsid w:val="00B9753A"/>
    <w:rsid w:val="00BA251E"/>
    <w:rsid w:val="00BA5F8E"/>
    <w:rsid w:val="00BB19A1"/>
    <w:rsid w:val="00BB3BF4"/>
    <w:rsid w:val="00BB479C"/>
    <w:rsid w:val="00BB629E"/>
    <w:rsid w:val="00BC4720"/>
    <w:rsid w:val="00BC75D2"/>
    <w:rsid w:val="00BD02A5"/>
    <w:rsid w:val="00BD0B80"/>
    <w:rsid w:val="00BD4D6B"/>
    <w:rsid w:val="00BD75A2"/>
    <w:rsid w:val="00BF3DFE"/>
    <w:rsid w:val="00BF52CA"/>
    <w:rsid w:val="00C04715"/>
    <w:rsid w:val="00C1476E"/>
    <w:rsid w:val="00C2017A"/>
    <w:rsid w:val="00C2026B"/>
    <w:rsid w:val="00C20470"/>
    <w:rsid w:val="00C2090C"/>
    <w:rsid w:val="00C308E9"/>
    <w:rsid w:val="00C34B2F"/>
    <w:rsid w:val="00C36D6B"/>
    <w:rsid w:val="00C4641B"/>
    <w:rsid w:val="00C46D75"/>
    <w:rsid w:val="00C55DFB"/>
    <w:rsid w:val="00C57017"/>
    <w:rsid w:val="00C57166"/>
    <w:rsid w:val="00C6212B"/>
    <w:rsid w:val="00C6690E"/>
    <w:rsid w:val="00C703C5"/>
    <w:rsid w:val="00C76914"/>
    <w:rsid w:val="00C805F2"/>
    <w:rsid w:val="00C81810"/>
    <w:rsid w:val="00C925FB"/>
    <w:rsid w:val="00C96099"/>
    <w:rsid w:val="00C96EFE"/>
    <w:rsid w:val="00CA460E"/>
    <w:rsid w:val="00CA5825"/>
    <w:rsid w:val="00CC5E40"/>
    <w:rsid w:val="00CC6CBF"/>
    <w:rsid w:val="00CD6B18"/>
    <w:rsid w:val="00CE0581"/>
    <w:rsid w:val="00CE2335"/>
    <w:rsid w:val="00CE2748"/>
    <w:rsid w:val="00CE4B46"/>
    <w:rsid w:val="00CF104D"/>
    <w:rsid w:val="00CF21D8"/>
    <w:rsid w:val="00CF3324"/>
    <w:rsid w:val="00D01FA0"/>
    <w:rsid w:val="00D02FF4"/>
    <w:rsid w:val="00D04686"/>
    <w:rsid w:val="00D1569F"/>
    <w:rsid w:val="00D20B1E"/>
    <w:rsid w:val="00D20F4F"/>
    <w:rsid w:val="00D22462"/>
    <w:rsid w:val="00D230AC"/>
    <w:rsid w:val="00D302F8"/>
    <w:rsid w:val="00D3108D"/>
    <w:rsid w:val="00D32489"/>
    <w:rsid w:val="00D3349E"/>
    <w:rsid w:val="00D338AD"/>
    <w:rsid w:val="00D360BB"/>
    <w:rsid w:val="00D37673"/>
    <w:rsid w:val="00D420EA"/>
    <w:rsid w:val="00D448FD"/>
    <w:rsid w:val="00D51925"/>
    <w:rsid w:val="00D61F68"/>
    <w:rsid w:val="00D71EF7"/>
    <w:rsid w:val="00D727BA"/>
    <w:rsid w:val="00D73CB8"/>
    <w:rsid w:val="00D76F54"/>
    <w:rsid w:val="00D92C9C"/>
    <w:rsid w:val="00DA2A3F"/>
    <w:rsid w:val="00DA3A29"/>
    <w:rsid w:val="00DA7591"/>
    <w:rsid w:val="00DA7A2C"/>
    <w:rsid w:val="00DA7B3B"/>
    <w:rsid w:val="00DB1E5A"/>
    <w:rsid w:val="00DB2AE0"/>
    <w:rsid w:val="00DB6F34"/>
    <w:rsid w:val="00DC5DC3"/>
    <w:rsid w:val="00DC646D"/>
    <w:rsid w:val="00DD29DE"/>
    <w:rsid w:val="00DD7017"/>
    <w:rsid w:val="00DD739F"/>
    <w:rsid w:val="00DD7E4E"/>
    <w:rsid w:val="00DE0ED4"/>
    <w:rsid w:val="00DF4B2E"/>
    <w:rsid w:val="00DF7E7D"/>
    <w:rsid w:val="00E01FB5"/>
    <w:rsid w:val="00E040EA"/>
    <w:rsid w:val="00E0611B"/>
    <w:rsid w:val="00E06C80"/>
    <w:rsid w:val="00E1617F"/>
    <w:rsid w:val="00E237E4"/>
    <w:rsid w:val="00E32798"/>
    <w:rsid w:val="00E33CC8"/>
    <w:rsid w:val="00E33DC9"/>
    <w:rsid w:val="00E414A4"/>
    <w:rsid w:val="00E51C91"/>
    <w:rsid w:val="00E56F24"/>
    <w:rsid w:val="00E6024D"/>
    <w:rsid w:val="00E61F47"/>
    <w:rsid w:val="00E667C1"/>
    <w:rsid w:val="00E67EEC"/>
    <w:rsid w:val="00E71593"/>
    <w:rsid w:val="00E72788"/>
    <w:rsid w:val="00E809E9"/>
    <w:rsid w:val="00EA02FA"/>
    <w:rsid w:val="00EA20DA"/>
    <w:rsid w:val="00EB61CE"/>
    <w:rsid w:val="00EC2914"/>
    <w:rsid w:val="00EC3F88"/>
    <w:rsid w:val="00ED07B5"/>
    <w:rsid w:val="00ED337B"/>
    <w:rsid w:val="00ED36D8"/>
    <w:rsid w:val="00ED612A"/>
    <w:rsid w:val="00ED642D"/>
    <w:rsid w:val="00EE6BD7"/>
    <w:rsid w:val="00EE7FCF"/>
    <w:rsid w:val="00EF15B4"/>
    <w:rsid w:val="00EF374D"/>
    <w:rsid w:val="00F03B1C"/>
    <w:rsid w:val="00F0689D"/>
    <w:rsid w:val="00F07F25"/>
    <w:rsid w:val="00F10818"/>
    <w:rsid w:val="00F20843"/>
    <w:rsid w:val="00F25ABC"/>
    <w:rsid w:val="00F2674B"/>
    <w:rsid w:val="00F34B12"/>
    <w:rsid w:val="00F3526D"/>
    <w:rsid w:val="00F3580C"/>
    <w:rsid w:val="00F36A11"/>
    <w:rsid w:val="00F440F4"/>
    <w:rsid w:val="00F461AB"/>
    <w:rsid w:val="00F63717"/>
    <w:rsid w:val="00F63BB9"/>
    <w:rsid w:val="00F64CD0"/>
    <w:rsid w:val="00F7022D"/>
    <w:rsid w:val="00F8491A"/>
    <w:rsid w:val="00F95713"/>
    <w:rsid w:val="00FB01B5"/>
    <w:rsid w:val="00FB2FFA"/>
    <w:rsid w:val="00FB4603"/>
    <w:rsid w:val="00FC39F6"/>
    <w:rsid w:val="00FD4FDD"/>
    <w:rsid w:val="00FE4664"/>
    <w:rsid w:val="00FE4F4C"/>
    <w:rsid w:val="00FF126F"/>
    <w:rsid w:val="00FF6E6B"/>
    <w:rsid w:val="010AE9A6"/>
    <w:rsid w:val="01D1629F"/>
    <w:rsid w:val="0275ED4E"/>
    <w:rsid w:val="02939F48"/>
    <w:rsid w:val="02B8AEAF"/>
    <w:rsid w:val="03B64D8C"/>
    <w:rsid w:val="03DB39D4"/>
    <w:rsid w:val="049B0691"/>
    <w:rsid w:val="04A74FB4"/>
    <w:rsid w:val="05C7597B"/>
    <w:rsid w:val="05E9043B"/>
    <w:rsid w:val="06A9B535"/>
    <w:rsid w:val="06AC64F5"/>
    <w:rsid w:val="07265FC1"/>
    <w:rsid w:val="075C50D3"/>
    <w:rsid w:val="085A561D"/>
    <w:rsid w:val="0914962E"/>
    <w:rsid w:val="09ACCE22"/>
    <w:rsid w:val="09E333B7"/>
    <w:rsid w:val="0A21F339"/>
    <w:rsid w:val="0A51D085"/>
    <w:rsid w:val="0A69198C"/>
    <w:rsid w:val="0ABDB92C"/>
    <w:rsid w:val="0B3794D1"/>
    <w:rsid w:val="0B5BFD06"/>
    <w:rsid w:val="0B83CD66"/>
    <w:rsid w:val="0C1D595C"/>
    <w:rsid w:val="0C38B540"/>
    <w:rsid w:val="0C734D39"/>
    <w:rsid w:val="0CE46EE4"/>
    <w:rsid w:val="0D78CBC9"/>
    <w:rsid w:val="0E0699E0"/>
    <w:rsid w:val="0E06FE3E"/>
    <w:rsid w:val="0E2A17D3"/>
    <w:rsid w:val="0E39E90C"/>
    <w:rsid w:val="101A9EB8"/>
    <w:rsid w:val="1072F9FF"/>
    <w:rsid w:val="10BAB60C"/>
    <w:rsid w:val="10CE0C50"/>
    <w:rsid w:val="10F8DF35"/>
    <w:rsid w:val="11C4B70F"/>
    <w:rsid w:val="11DE045C"/>
    <w:rsid w:val="11E1D3B4"/>
    <w:rsid w:val="127A2E70"/>
    <w:rsid w:val="12B57DCF"/>
    <w:rsid w:val="13881397"/>
    <w:rsid w:val="1395C4A3"/>
    <w:rsid w:val="140FEC41"/>
    <w:rsid w:val="14542625"/>
    <w:rsid w:val="15E1F833"/>
    <w:rsid w:val="16706530"/>
    <w:rsid w:val="169B4805"/>
    <w:rsid w:val="16C09923"/>
    <w:rsid w:val="16E106C2"/>
    <w:rsid w:val="17E7C3F4"/>
    <w:rsid w:val="18E3742F"/>
    <w:rsid w:val="19221038"/>
    <w:rsid w:val="1954386B"/>
    <w:rsid w:val="197C7FEC"/>
    <w:rsid w:val="19A29C4E"/>
    <w:rsid w:val="1B328B4B"/>
    <w:rsid w:val="1B4DE28B"/>
    <w:rsid w:val="1BD3B38E"/>
    <w:rsid w:val="1C4FFD6B"/>
    <w:rsid w:val="1D20FB92"/>
    <w:rsid w:val="1D2D22F1"/>
    <w:rsid w:val="1DF9E991"/>
    <w:rsid w:val="1E3C0B3A"/>
    <w:rsid w:val="1EAB2E7E"/>
    <w:rsid w:val="1EC5EAB9"/>
    <w:rsid w:val="1F360EE9"/>
    <w:rsid w:val="1F6CC6E7"/>
    <w:rsid w:val="1F92DDBB"/>
    <w:rsid w:val="1FE4A4FC"/>
    <w:rsid w:val="203A10A4"/>
    <w:rsid w:val="206D906A"/>
    <w:rsid w:val="209E42B0"/>
    <w:rsid w:val="20BA0973"/>
    <w:rsid w:val="21835189"/>
    <w:rsid w:val="21B45BCE"/>
    <w:rsid w:val="220B7343"/>
    <w:rsid w:val="228BEB39"/>
    <w:rsid w:val="22A3E0D0"/>
    <w:rsid w:val="23AD1024"/>
    <w:rsid w:val="240A4A2F"/>
    <w:rsid w:val="246D1879"/>
    <w:rsid w:val="24A0088C"/>
    <w:rsid w:val="25BFEB7F"/>
    <w:rsid w:val="264CA8B3"/>
    <w:rsid w:val="2726F1CA"/>
    <w:rsid w:val="280262AC"/>
    <w:rsid w:val="29310848"/>
    <w:rsid w:val="29534469"/>
    <w:rsid w:val="29A419A4"/>
    <w:rsid w:val="2A21EA9A"/>
    <w:rsid w:val="2A6FCB9B"/>
    <w:rsid w:val="2A76D090"/>
    <w:rsid w:val="2A7A153E"/>
    <w:rsid w:val="2BC8D200"/>
    <w:rsid w:val="2C4404B5"/>
    <w:rsid w:val="2CDC4C02"/>
    <w:rsid w:val="2D53A057"/>
    <w:rsid w:val="2D5A28E4"/>
    <w:rsid w:val="2D8DF5EC"/>
    <w:rsid w:val="2DB997A7"/>
    <w:rsid w:val="2E48A8B3"/>
    <w:rsid w:val="2EDB3B02"/>
    <w:rsid w:val="2FB31ACE"/>
    <w:rsid w:val="3135B80A"/>
    <w:rsid w:val="3141B250"/>
    <w:rsid w:val="31D0DD12"/>
    <w:rsid w:val="3216B4C3"/>
    <w:rsid w:val="325908FE"/>
    <w:rsid w:val="325DADE1"/>
    <w:rsid w:val="328D3C17"/>
    <w:rsid w:val="32BE3F28"/>
    <w:rsid w:val="331C8147"/>
    <w:rsid w:val="34D4C6B7"/>
    <w:rsid w:val="34D74A54"/>
    <w:rsid w:val="35C4480F"/>
    <w:rsid w:val="365F5162"/>
    <w:rsid w:val="366FBCD4"/>
    <w:rsid w:val="37410BAA"/>
    <w:rsid w:val="383605A8"/>
    <w:rsid w:val="3909017B"/>
    <w:rsid w:val="394C3D6D"/>
    <w:rsid w:val="395EAC77"/>
    <w:rsid w:val="39F55338"/>
    <w:rsid w:val="3A9618A6"/>
    <w:rsid w:val="3AAE634C"/>
    <w:rsid w:val="3ABD37AB"/>
    <w:rsid w:val="3AEB50F1"/>
    <w:rsid w:val="3B3349EE"/>
    <w:rsid w:val="3BAC79AD"/>
    <w:rsid w:val="3C101D38"/>
    <w:rsid w:val="3C4A9B91"/>
    <w:rsid w:val="3C55FE76"/>
    <w:rsid w:val="3CBD0DE3"/>
    <w:rsid w:val="3D0B1478"/>
    <w:rsid w:val="3D5955CE"/>
    <w:rsid w:val="3D835E38"/>
    <w:rsid w:val="3DE45ADF"/>
    <w:rsid w:val="3ECA48DE"/>
    <w:rsid w:val="413064BE"/>
    <w:rsid w:val="413719B7"/>
    <w:rsid w:val="41792D74"/>
    <w:rsid w:val="41BEA7D1"/>
    <w:rsid w:val="421AC8C9"/>
    <w:rsid w:val="4260D39B"/>
    <w:rsid w:val="42ED0E70"/>
    <w:rsid w:val="454E589F"/>
    <w:rsid w:val="455475E5"/>
    <w:rsid w:val="45E45651"/>
    <w:rsid w:val="45EF0C6B"/>
    <w:rsid w:val="461E783F"/>
    <w:rsid w:val="46634AA8"/>
    <w:rsid w:val="46689A92"/>
    <w:rsid w:val="47336A48"/>
    <w:rsid w:val="476D6E69"/>
    <w:rsid w:val="47D0B56C"/>
    <w:rsid w:val="47D4EF46"/>
    <w:rsid w:val="47DDF8AD"/>
    <w:rsid w:val="483E5862"/>
    <w:rsid w:val="485FDE43"/>
    <w:rsid w:val="48BA98C3"/>
    <w:rsid w:val="48C0EDFB"/>
    <w:rsid w:val="4931779B"/>
    <w:rsid w:val="493FFFF7"/>
    <w:rsid w:val="49A6D6E9"/>
    <w:rsid w:val="4A029092"/>
    <w:rsid w:val="4A3FD7F8"/>
    <w:rsid w:val="4A62A854"/>
    <w:rsid w:val="4A81D42C"/>
    <w:rsid w:val="4B60E63B"/>
    <w:rsid w:val="4CEC6F79"/>
    <w:rsid w:val="4D9153D2"/>
    <w:rsid w:val="4E13A472"/>
    <w:rsid w:val="4E8240C0"/>
    <w:rsid w:val="4EF5EA00"/>
    <w:rsid w:val="4F7D30C0"/>
    <w:rsid w:val="4F7EC3AC"/>
    <w:rsid w:val="4FF9994F"/>
    <w:rsid w:val="508D6641"/>
    <w:rsid w:val="50981AFD"/>
    <w:rsid w:val="50AF197C"/>
    <w:rsid w:val="51166FE8"/>
    <w:rsid w:val="514C29E6"/>
    <w:rsid w:val="51F08B9C"/>
    <w:rsid w:val="520A5CC1"/>
    <w:rsid w:val="529E7E4D"/>
    <w:rsid w:val="52BCE40F"/>
    <w:rsid w:val="5308B538"/>
    <w:rsid w:val="5349B493"/>
    <w:rsid w:val="53EB760C"/>
    <w:rsid w:val="53FBAB55"/>
    <w:rsid w:val="54DE6BBA"/>
    <w:rsid w:val="54FE3CC0"/>
    <w:rsid w:val="55437EDF"/>
    <w:rsid w:val="5546BB68"/>
    <w:rsid w:val="567210E2"/>
    <w:rsid w:val="56812C79"/>
    <w:rsid w:val="56D68AB8"/>
    <w:rsid w:val="56D9D230"/>
    <w:rsid w:val="57DB432A"/>
    <w:rsid w:val="57F1F06C"/>
    <w:rsid w:val="57F422A3"/>
    <w:rsid w:val="581D92FA"/>
    <w:rsid w:val="58EC1D22"/>
    <w:rsid w:val="5A301A6E"/>
    <w:rsid w:val="5AF30959"/>
    <w:rsid w:val="5C78B14E"/>
    <w:rsid w:val="5CFAAB51"/>
    <w:rsid w:val="5D04B30C"/>
    <w:rsid w:val="5D14B801"/>
    <w:rsid w:val="5DA11185"/>
    <w:rsid w:val="5DB75F9F"/>
    <w:rsid w:val="5DFEF531"/>
    <w:rsid w:val="5E1956AE"/>
    <w:rsid w:val="5E6BA31D"/>
    <w:rsid w:val="5E8C829E"/>
    <w:rsid w:val="5ED66E3C"/>
    <w:rsid w:val="5EFEBB56"/>
    <w:rsid w:val="5F029356"/>
    <w:rsid w:val="5F0C83A7"/>
    <w:rsid w:val="5F7DB517"/>
    <w:rsid w:val="5FB1B847"/>
    <w:rsid w:val="5FBA8AB0"/>
    <w:rsid w:val="601872AD"/>
    <w:rsid w:val="606D7843"/>
    <w:rsid w:val="60B7A3E0"/>
    <w:rsid w:val="60BFDF30"/>
    <w:rsid w:val="60D30D84"/>
    <w:rsid w:val="6116E19C"/>
    <w:rsid w:val="61498092"/>
    <w:rsid w:val="62317338"/>
    <w:rsid w:val="62949B9B"/>
    <w:rsid w:val="6308C024"/>
    <w:rsid w:val="637FD20B"/>
    <w:rsid w:val="63E884E0"/>
    <w:rsid w:val="64277DAA"/>
    <w:rsid w:val="644E00AC"/>
    <w:rsid w:val="64804D2A"/>
    <w:rsid w:val="65189169"/>
    <w:rsid w:val="65945F63"/>
    <w:rsid w:val="65ABA437"/>
    <w:rsid w:val="65D438C5"/>
    <w:rsid w:val="65FC0112"/>
    <w:rsid w:val="66CA81D3"/>
    <w:rsid w:val="670E9A10"/>
    <w:rsid w:val="671E4327"/>
    <w:rsid w:val="676DCC98"/>
    <w:rsid w:val="686A8869"/>
    <w:rsid w:val="69626741"/>
    <w:rsid w:val="699BA728"/>
    <w:rsid w:val="6A897226"/>
    <w:rsid w:val="6C1239F5"/>
    <w:rsid w:val="6C3623FB"/>
    <w:rsid w:val="6C8AF0BD"/>
    <w:rsid w:val="6D533520"/>
    <w:rsid w:val="6DF098A1"/>
    <w:rsid w:val="6DFA14E1"/>
    <w:rsid w:val="6EA3A48F"/>
    <w:rsid w:val="6EB1976A"/>
    <w:rsid w:val="6EBE30F1"/>
    <w:rsid w:val="6EDF4BC5"/>
    <w:rsid w:val="6FAEC66B"/>
    <w:rsid w:val="6FDF34C9"/>
    <w:rsid w:val="71E36747"/>
    <w:rsid w:val="720216A4"/>
    <w:rsid w:val="7209D0CE"/>
    <w:rsid w:val="72511157"/>
    <w:rsid w:val="72B128AB"/>
    <w:rsid w:val="733B0339"/>
    <w:rsid w:val="73BA50B8"/>
    <w:rsid w:val="73C9F058"/>
    <w:rsid w:val="73D99CDC"/>
    <w:rsid w:val="743C224C"/>
    <w:rsid w:val="745B7EDF"/>
    <w:rsid w:val="748A1A33"/>
    <w:rsid w:val="753AE0EF"/>
    <w:rsid w:val="75A8889C"/>
    <w:rsid w:val="75AA1814"/>
    <w:rsid w:val="763469F3"/>
    <w:rsid w:val="7669B158"/>
    <w:rsid w:val="76DB0ECF"/>
    <w:rsid w:val="76F21FE7"/>
    <w:rsid w:val="770B173E"/>
    <w:rsid w:val="77203F60"/>
    <w:rsid w:val="780C14CD"/>
    <w:rsid w:val="7861BE22"/>
    <w:rsid w:val="78BC0FC1"/>
    <w:rsid w:val="78C6B754"/>
    <w:rsid w:val="79287DAA"/>
    <w:rsid w:val="792A8290"/>
    <w:rsid w:val="7A294DE1"/>
    <w:rsid w:val="7A83CCE5"/>
    <w:rsid w:val="7A9BD152"/>
    <w:rsid w:val="7AA2D90B"/>
    <w:rsid w:val="7AA4364F"/>
    <w:rsid w:val="7AE57793"/>
    <w:rsid w:val="7B8E3E3E"/>
    <w:rsid w:val="7BE5CD96"/>
    <w:rsid w:val="7C63463A"/>
    <w:rsid w:val="7CE08B87"/>
    <w:rsid w:val="7DCCBFCB"/>
    <w:rsid w:val="7E2AE601"/>
    <w:rsid w:val="7E3F5435"/>
    <w:rsid w:val="7E7C5BE8"/>
    <w:rsid w:val="7E7C5BE8"/>
    <w:rsid w:val="7E87A984"/>
    <w:rsid w:val="7EE73852"/>
    <w:rsid w:val="7F9BCDF3"/>
    <w:rsid w:val="7FEDB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9198F2"/>
  <w15:chartTrackingRefBased/>
  <w15:docId w15:val="{9CE5CF7E-876D-45A3-ADD2-AE09E8A0C6C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 w:semiHidden="1" w:unhideWhenUsed="1"/>
    <w:lsdException w:name="heading 3" w:uiPriority="9" w:semiHidden="1" w:unhideWhenUsed="1"/>
    <w:lsdException w:name="heading 4" w:uiPriority="9" w:semiHidden="1" w:unhideWhenUsed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7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nhideWhenUsed="1" w:qFormat="1"/>
    <w:lsdException w:name="Bibliography" w:uiPriority="38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rsid w:val="00A87B13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rsid w:val="00831374"/>
    <w:pPr>
      <w:keepNext/>
      <w:keepLines/>
      <w:spacing w:before="160" w:after="0"/>
      <w:outlineLvl w:val="0"/>
    </w:pPr>
    <w:rPr>
      <w:rFonts w:asciiTheme="majorHAnsi" w:hAnsiTheme="majorHAnsi" w:eastAsiaTheme="majorEastAsia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rsid w:val="00063405"/>
    <w:pPr>
      <w:keepNext/>
      <w:keepLines/>
      <w:spacing w:before="80" w:after="0"/>
      <w:outlineLvl w:val="1"/>
    </w:pPr>
    <w:rPr>
      <w:rFonts w:asciiTheme="majorHAnsi" w:hAnsiTheme="majorHAnsi" w:eastAsiaTheme="majorEastAsia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rsid w:val="00504668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rsid w:val="00C6690E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rsid w:val="00C6690E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rsid w:val="00C6690E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rsid w:val="00C6690E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rsid w:val="00A95C48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rsid w:val="00A95C48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Standardnpsmoodstavce" w:default="1">
    <w:name w:val="Default Paragraph Font"/>
    <w:aliases w:val="Default Paragraph Font"/>
    <w:uiPriority w:val="1"/>
    <w:semiHidden/>
    <w:unhideWhenUsed/>
  </w:style>
  <w:style w:type="table" w:styleId="Normlntabulka" w:default="1">
    <w:name w:val="Normal Table"/>
    <w:aliases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aliases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rsid w:val="009F7F46"/>
    <w:pPr>
      <w:ind w:left="720"/>
      <w:contextualSpacing/>
    </w:pPr>
  </w:style>
  <w:style w:type="numbering" w:styleId="VariantaB-odrky" w:customStyle="1">
    <w:name w:val="Varianta B - odrážky"/>
    <w:uiPriority w:val="99"/>
    <w:rsid w:val="007102D2"/>
    <w:pPr>
      <w:numPr>
        <w:numId w:val="3"/>
      </w:numPr>
    </w:pPr>
  </w:style>
  <w:style w:type="character" w:styleId="Nadpis1Char" w:customStyle="1">
    <w:name w:val="Nadpis 1 Char"/>
    <w:basedOn w:val="Standardnpsmoodstavce"/>
    <w:link w:val="Nadpis1"/>
    <w:uiPriority w:val="7"/>
    <w:rsid w:val="003250CB"/>
    <w:rPr>
      <w:rFonts w:asciiTheme="majorHAnsi" w:hAnsiTheme="majorHAnsi" w:eastAsiaTheme="majorEastAsia" w:cstheme="majorBidi"/>
      <w:b/>
      <w:color w:val="000000" w:themeColor="text1"/>
      <w:sz w:val="28"/>
      <w:szCs w:val="32"/>
    </w:rPr>
  </w:style>
  <w:style w:type="numbering" w:styleId="VariantaA-odrky" w:customStyle="1">
    <w:name w:val="Varianta A - odrážky"/>
    <w:uiPriority w:val="99"/>
    <w:rsid w:val="00262DAF"/>
    <w:pPr>
      <w:numPr>
        <w:numId w:val="4"/>
      </w:numPr>
    </w:pPr>
  </w:style>
  <w:style w:type="character" w:styleId="Nadpis2Char" w:customStyle="1">
    <w:name w:val="Nadpis 2 Char"/>
    <w:basedOn w:val="Standardnpsmoodstavce"/>
    <w:link w:val="Nadpis2"/>
    <w:uiPriority w:val="7"/>
    <w:rsid w:val="003250CB"/>
    <w:rPr>
      <w:rFonts w:asciiTheme="majorHAnsi" w:hAnsiTheme="majorHAnsi" w:eastAsiaTheme="majorEastAsia" w:cstheme="majorBidi"/>
      <w:b/>
      <w:color w:val="000000" w:themeColor="text1"/>
      <w:sz w:val="26"/>
      <w:szCs w:val="26"/>
    </w:rPr>
  </w:style>
  <w:style w:type="numbering" w:styleId="VariantaA-sla" w:customStyle="1">
    <w:name w:val="Varianta A - čísla"/>
    <w:uiPriority w:val="99"/>
    <w:rsid w:val="00B50EE6"/>
    <w:pPr>
      <w:numPr>
        <w:numId w:val="6"/>
      </w:numPr>
    </w:pPr>
  </w:style>
  <w:style w:type="numbering" w:styleId="VariantaB-sla" w:customStyle="1">
    <w:name w:val="Varianta B - čísla"/>
    <w:uiPriority w:val="99"/>
    <w:rsid w:val="009F7F46"/>
    <w:pPr>
      <w:numPr>
        <w:numId w:val="5"/>
      </w:numPr>
    </w:pPr>
  </w:style>
  <w:style w:type="character" w:styleId="Nadpis3Char" w:customStyle="1">
    <w:name w:val="Nadpis 3 Char"/>
    <w:basedOn w:val="Standardnpsmoodstavce"/>
    <w:link w:val="Nadpis3"/>
    <w:uiPriority w:val="7"/>
    <w:rsid w:val="003250CB"/>
    <w:rPr>
      <w:rFonts w:asciiTheme="majorHAnsi" w:hAnsiTheme="majorHAnsi" w:eastAsiaTheme="majorEastAsia" w:cstheme="majorBidi"/>
      <w:b/>
      <w:color w:val="000000" w:themeColor="text1"/>
      <w:sz w:val="24"/>
      <w:szCs w:val="24"/>
    </w:rPr>
  </w:style>
  <w:style w:type="character" w:styleId="Nadpis4Char" w:customStyle="1">
    <w:name w:val="Nadpis 4 Char"/>
    <w:basedOn w:val="Standardnpsmoodstavce"/>
    <w:link w:val="Nadpis4"/>
    <w:uiPriority w:val="7"/>
    <w:rsid w:val="003250CB"/>
    <w:rPr>
      <w:rFonts w:asciiTheme="majorHAnsi" w:hAnsiTheme="majorHAnsi" w:eastAsiaTheme="majorEastAsia" w:cstheme="majorBidi"/>
      <w:i/>
      <w:iCs/>
      <w:color w:val="000000" w:themeColor="text1"/>
      <w:sz w:val="24"/>
    </w:rPr>
  </w:style>
  <w:style w:type="character" w:styleId="Nadpis5Char" w:customStyle="1">
    <w:name w:val="Nadpis 5 Char"/>
    <w:basedOn w:val="Standardnpsmoodstavce"/>
    <w:link w:val="Nadpis5"/>
    <w:uiPriority w:val="7"/>
    <w:rsid w:val="003250CB"/>
    <w:rPr>
      <w:rFonts w:asciiTheme="majorHAnsi" w:hAnsiTheme="majorHAnsi" w:eastAsiaTheme="majorEastAsia" w:cstheme="majorBidi"/>
      <w:b/>
      <w:color w:val="000000" w:themeColor="text1"/>
    </w:rPr>
  </w:style>
  <w:style w:type="character" w:styleId="Nadpis6Char" w:customStyle="1">
    <w:name w:val="Nadpis 6 Char"/>
    <w:basedOn w:val="Standardnpsmoodstavce"/>
    <w:link w:val="Nadpis6"/>
    <w:uiPriority w:val="7"/>
    <w:rsid w:val="003250CB"/>
    <w:rPr>
      <w:rFonts w:asciiTheme="majorHAnsi" w:hAnsiTheme="majorHAnsi" w:eastAsiaTheme="majorEastAsia" w:cstheme="majorBidi"/>
      <w:i/>
      <w:color w:val="000000" w:themeColor="text1"/>
    </w:rPr>
  </w:style>
  <w:style w:type="character" w:styleId="Nadpis7Char" w:customStyle="1">
    <w:name w:val="Nadpis 7 Char"/>
    <w:basedOn w:val="Standardnpsmoodstavce"/>
    <w:link w:val="Nadpis7"/>
    <w:uiPriority w:val="7"/>
    <w:rsid w:val="003250CB"/>
    <w:rPr>
      <w:rFonts w:asciiTheme="majorHAnsi" w:hAnsiTheme="majorHAnsi" w:eastAsiaTheme="majorEastAsia" w:cstheme="majorBidi"/>
      <w:iCs/>
      <w:color w:val="000000" w:themeColor="text1"/>
    </w:rPr>
  </w:style>
  <w:style w:type="character" w:styleId="Nadpis8Char" w:customStyle="1">
    <w:name w:val="Nadpis 8 Char"/>
    <w:basedOn w:val="Standardnpsmoodstavce"/>
    <w:link w:val="Nadpis8"/>
    <w:uiPriority w:val="7"/>
    <w:rsid w:val="003250CB"/>
    <w:rPr>
      <w:rFonts w:asciiTheme="majorHAnsi" w:hAnsiTheme="majorHAnsi" w:eastAsiaTheme="majorEastAsia" w:cstheme="majorBidi"/>
      <w:b/>
      <w:color w:val="272727" w:themeColor="text1" w:themeTint="D8"/>
      <w:szCs w:val="21"/>
    </w:rPr>
  </w:style>
  <w:style w:type="character" w:styleId="Nadpis9Char" w:customStyle="1">
    <w:name w:val="Nadpis 9 Char"/>
    <w:basedOn w:val="Standardnpsmoodstavce"/>
    <w:link w:val="Nadpis9"/>
    <w:uiPriority w:val="7"/>
    <w:rsid w:val="003250CB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rsid w:val="00A63D6B"/>
    <w:pPr>
      <w:keepNext/>
      <w:keepLines/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48"/>
      <w:szCs w:val="56"/>
    </w:rPr>
  </w:style>
  <w:style w:type="character" w:styleId="NzevChar" w:customStyle="1">
    <w:name w:val="Název Char"/>
    <w:basedOn w:val="Standardnpsmoodstavce"/>
    <w:link w:val="Nzev"/>
    <w:uiPriority w:val="4"/>
    <w:rsid w:val="003250CB"/>
    <w:rPr>
      <w:rFonts w:asciiTheme="majorHAnsi" w:hAnsiTheme="majorHAnsi" w:eastAsiaTheme="majorEastAsia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rsid w:val="00713948"/>
    <w:pPr>
      <w:keepLines/>
      <w:pBdr>
        <w:top w:val="single" w:color="000000" w:themeColor="text1" w:sz="4" w:space="10"/>
        <w:bottom w:val="single" w:color="000000" w:themeColor="text1" w:sz="4" w:space="10"/>
      </w:pBdr>
      <w:spacing w:before="240" w:after="240"/>
      <w:ind w:left="357" w:right="357"/>
    </w:pPr>
    <w:rPr>
      <w:i/>
      <w:iCs/>
    </w:rPr>
  </w:style>
  <w:style w:type="character" w:styleId="VrazncittChar" w:customStyle="1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rsid w:val="001B1E4A"/>
    <w:pPr>
      <w:numPr>
        <w:numId w:val="9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rsid w:val="001B1E4A"/>
    <w:pPr>
      <w:numPr>
        <w:ilvl w:val="1"/>
        <w:numId w:val="9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rsid w:val="001B1E4A"/>
    <w:pPr>
      <w:numPr>
        <w:ilvl w:val="2"/>
        <w:numId w:val="9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rsid w:val="001B1E4A"/>
    <w:pPr>
      <w:numPr>
        <w:ilvl w:val="3"/>
        <w:numId w:val="9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rsid w:val="001B1E4A"/>
    <w:pPr>
      <w:numPr>
        <w:ilvl w:val="4"/>
        <w:numId w:val="9"/>
      </w:numPr>
      <w:spacing w:after="0"/>
      <w:contextualSpacing/>
    </w:pPr>
  </w:style>
  <w:style w:type="paragraph" w:styleId="slovanseznamB" w:customStyle="1">
    <w:name w:val="Číslovaný seznam B"/>
    <w:basedOn w:val="Normln"/>
    <w:uiPriority w:val="16"/>
    <w:rsid w:val="009F7F46"/>
    <w:pPr>
      <w:numPr>
        <w:numId w:val="7"/>
      </w:numPr>
      <w:spacing w:after="0"/>
    </w:pPr>
  </w:style>
  <w:style w:type="paragraph" w:styleId="slovanseznamB2" w:customStyle="1">
    <w:name w:val="Číslovaný seznam B 2"/>
    <w:basedOn w:val="Normln"/>
    <w:uiPriority w:val="16"/>
    <w:rsid w:val="009F7F46"/>
    <w:pPr>
      <w:numPr>
        <w:ilvl w:val="1"/>
        <w:numId w:val="7"/>
      </w:numPr>
      <w:spacing w:after="0"/>
    </w:pPr>
  </w:style>
  <w:style w:type="paragraph" w:styleId="slovanseznamB3" w:customStyle="1">
    <w:name w:val="Číslovaný seznam B 3"/>
    <w:basedOn w:val="Normln"/>
    <w:uiPriority w:val="16"/>
    <w:rsid w:val="009F7F46"/>
    <w:pPr>
      <w:numPr>
        <w:ilvl w:val="2"/>
        <w:numId w:val="7"/>
      </w:numPr>
      <w:spacing w:after="0"/>
    </w:pPr>
  </w:style>
  <w:style w:type="paragraph" w:styleId="slovanseznamB4" w:customStyle="1">
    <w:name w:val="Číslovaný seznam B 4"/>
    <w:basedOn w:val="Normln"/>
    <w:uiPriority w:val="16"/>
    <w:rsid w:val="009F7F46"/>
    <w:pPr>
      <w:numPr>
        <w:ilvl w:val="3"/>
        <w:numId w:val="7"/>
      </w:numPr>
      <w:spacing w:after="0"/>
    </w:pPr>
  </w:style>
  <w:style w:type="paragraph" w:styleId="slovanseznamB5" w:customStyle="1">
    <w:name w:val="Číslovaný seznam B 5"/>
    <w:basedOn w:val="Normln"/>
    <w:uiPriority w:val="16"/>
    <w:rsid w:val="009F7F46"/>
    <w:pPr>
      <w:numPr>
        <w:ilvl w:val="4"/>
        <w:numId w:val="7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rsid w:val="00262DAF"/>
    <w:pPr>
      <w:numPr>
        <w:ilvl w:val="2"/>
        <w:numId w:val="8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rsid w:val="00262DAF"/>
    <w:pPr>
      <w:numPr>
        <w:ilvl w:val="3"/>
        <w:numId w:val="8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rsid w:val="00262DAF"/>
    <w:pPr>
      <w:numPr>
        <w:ilvl w:val="4"/>
        <w:numId w:val="8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rsid w:val="00262DAF"/>
    <w:pPr>
      <w:numPr>
        <w:numId w:val="8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rsid w:val="00262DAF"/>
    <w:pPr>
      <w:numPr>
        <w:ilvl w:val="1"/>
        <w:numId w:val="8"/>
      </w:numPr>
      <w:spacing w:after="0"/>
      <w:contextualSpacing/>
    </w:pPr>
  </w:style>
  <w:style w:type="paragraph" w:styleId="Nadpis1-mimoobsah" w:customStyle="1">
    <w:name w:val="Nadpis 1 - mimo obsah"/>
    <w:basedOn w:val="Normln"/>
    <w:next w:val="Normln"/>
    <w:uiPriority w:val="8"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styleId="Nadpis2-mimoobsah" w:customStyle="1">
    <w:name w:val="Nadpis 2 - mimo obsah"/>
    <w:basedOn w:val="Normln"/>
    <w:next w:val="Normln"/>
    <w:uiPriority w:val="8"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styleId="Nadpis3-mimoobsah" w:customStyle="1">
    <w:name w:val="Nadpis 3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styleId="Nadpis4-mimoobsah" w:customStyle="1">
    <w:name w:val="Nadpis 4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styleId="Nadpis5-mimoobsah" w:customStyle="1">
    <w:name w:val="Nadpis 5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styleId="Nadpis7mimoobsah" w:customStyle="1">
    <w:name w:val="Nadpis 7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styleId="Nadpis6mimoobsah" w:customStyle="1">
    <w:name w:val="Nadpis 6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styleId="Nadpis8mimoobsah" w:customStyle="1">
    <w:name w:val="Nadpis 8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styleId="Nadpis9mimoobsah" w:customStyle="1">
    <w:name w:val="Nadpis 9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styleId="PodnadpisChar" w:customStyle="1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styleId="CittChar" w:customStyle="1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styleId="DatumChar" w:customStyle="1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color="000000" w:themeColor="text1" w:sz="2" w:space="10"/>
        <w:left w:val="single" w:color="000000" w:themeColor="text1" w:sz="2" w:space="10"/>
        <w:bottom w:val="single" w:color="000000" w:themeColor="text1" w:sz="2" w:space="10"/>
        <w:right w:val="single" w:color="000000" w:themeColor="text1" w:sz="2" w:space="10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styleId="ZkladntextChar" w:customStyle="1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styleId="Zkladntext-prvnodsazenChar" w:customStyle="1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styleId="ZkladntextodsazenChar" w:customStyle="1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styleId="SeznamsodrkamiB" w:customStyle="1">
    <w:name w:val="Seznam s odrážkami B"/>
    <w:basedOn w:val="Normln"/>
    <w:uiPriority w:val="11"/>
    <w:rsid w:val="007102D2"/>
    <w:pPr>
      <w:numPr>
        <w:numId w:val="10"/>
      </w:numPr>
      <w:spacing w:after="0"/>
    </w:pPr>
  </w:style>
  <w:style w:type="paragraph" w:styleId="SeznamsodrkamiB2" w:customStyle="1">
    <w:name w:val="Seznam s odrážkami B 2"/>
    <w:basedOn w:val="Normln"/>
    <w:uiPriority w:val="11"/>
    <w:rsid w:val="007102D2"/>
    <w:pPr>
      <w:numPr>
        <w:ilvl w:val="1"/>
        <w:numId w:val="10"/>
      </w:numPr>
      <w:spacing w:after="0"/>
    </w:pPr>
  </w:style>
  <w:style w:type="paragraph" w:styleId="SeznamsodrkamiB3" w:customStyle="1">
    <w:name w:val="Seznam s odrážkami B 3"/>
    <w:basedOn w:val="Normln"/>
    <w:uiPriority w:val="11"/>
    <w:rsid w:val="007102D2"/>
    <w:pPr>
      <w:numPr>
        <w:ilvl w:val="2"/>
        <w:numId w:val="10"/>
      </w:numPr>
      <w:spacing w:after="0"/>
    </w:pPr>
  </w:style>
  <w:style w:type="paragraph" w:styleId="SeznamsodrkamiB4" w:customStyle="1">
    <w:name w:val="Seznam s odrážkami B 4"/>
    <w:basedOn w:val="Normln"/>
    <w:uiPriority w:val="11"/>
    <w:rsid w:val="007102D2"/>
    <w:pPr>
      <w:numPr>
        <w:ilvl w:val="3"/>
        <w:numId w:val="10"/>
      </w:numPr>
      <w:spacing w:after="0"/>
    </w:pPr>
  </w:style>
  <w:style w:type="paragraph" w:styleId="SeznamsodrkamiB5" w:customStyle="1">
    <w:name w:val="Seznam s odrážkami B 5"/>
    <w:basedOn w:val="Normln"/>
    <w:uiPriority w:val="11"/>
    <w:rsid w:val="007102D2"/>
    <w:pPr>
      <w:numPr>
        <w:ilvl w:val="4"/>
        <w:numId w:val="10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Default" w:customStyle="1">
    <w:name w:val="Default"/>
    <w:link w:val="DefaultChar"/>
    <w:rsid w:val="002C20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uiPriority w:val="99"/>
    <w:unhideWhenUsed/>
    <w:rsid w:val="00CE0581"/>
    <w:pPr>
      <w:spacing w:after="0" w:line="240" w:lineRule="auto"/>
    </w:pPr>
    <w:rPr>
      <w:sz w:val="20"/>
      <w:szCs w:val="20"/>
    </w:rPr>
  </w:style>
  <w:style w:type="character" w:styleId="TextpoznpodarouChar" w:customStyle="1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uiPriority w:val="99"/>
    <w:rsid w:val="00CE0581"/>
    <w:rPr>
      <w:color w:val="000000" w:themeColor="text1"/>
      <w:sz w:val="20"/>
      <w:szCs w:val="20"/>
    </w:rPr>
  </w:style>
  <w:style w:type="character" w:styleId="Znakapoznpodarou">
    <w:name w:val="footnote reference"/>
    <w:aliases w:val="EN Footnote Reference,PGI Fußnote Ziffer + Times New Roman,12 b.,Zúžené o ...,PGI Fußnote Ziffer"/>
    <w:basedOn w:val="Standardnpsmoodstavce"/>
    <w:uiPriority w:val="99"/>
    <w:unhideWhenUsed/>
    <w:rsid w:val="00CE0581"/>
    <w:rPr>
      <w:vertAlign w:val="superscript"/>
    </w:rPr>
  </w:style>
  <w:style w:type="character" w:styleId="Nevyeenzmnka1" w:customStyle="1">
    <w:name w:val="Nevyřešená zmínka1"/>
    <w:basedOn w:val="Standardnpsmoodstavce"/>
    <w:uiPriority w:val="99"/>
    <w:semiHidden/>
    <w:unhideWhenUsed/>
    <w:rsid w:val="009325EA"/>
    <w:rPr>
      <w:color w:val="605E5C"/>
      <w:shd w:val="clear" w:color="auto" w:fill="E1DFDD"/>
    </w:rPr>
  </w:style>
  <w:style w:type="paragraph" w:styleId="K-Nadpis1" w:customStyle="1">
    <w:name w:val="K-Nadpis1"/>
    <w:basedOn w:val="Nadpis1"/>
    <w:link w:val="K-Nadpis1Char"/>
    <w:qFormat/>
    <w:rsid w:val="00154B73"/>
    <w:rPr>
      <w:rFonts w:ascii="Times New Roman" w:hAnsi="Times New Roman" w:cs="Times New Roman"/>
      <w:sz w:val="32"/>
    </w:rPr>
  </w:style>
  <w:style w:type="paragraph" w:styleId="K-Nadpis2" w:customStyle="1">
    <w:name w:val="K-Nadpis2"/>
    <w:basedOn w:val="Nadpis2"/>
    <w:link w:val="K-Nadpis2Char"/>
    <w:qFormat/>
    <w:rsid w:val="00154B73"/>
    <w:rPr>
      <w:rFonts w:ascii="Times New Roman" w:hAnsi="Times New Roman" w:cs="Times New Roman"/>
      <w:sz w:val="28"/>
      <w:szCs w:val="28"/>
    </w:rPr>
  </w:style>
  <w:style w:type="character" w:styleId="K-Nadpis1Char" w:customStyle="1">
    <w:name w:val="K-Nadpis1 Char"/>
    <w:basedOn w:val="Nadpis1Char"/>
    <w:link w:val="K-Nadpis1"/>
    <w:rsid w:val="00154B73"/>
    <w:rPr>
      <w:rFonts w:ascii="Times New Roman" w:hAnsi="Times New Roman" w:cs="Times New Roman" w:eastAsiaTheme="majorEastAsia"/>
      <w:b/>
      <w:color w:val="000000" w:themeColor="text1"/>
      <w:sz w:val="32"/>
      <w:szCs w:val="32"/>
    </w:rPr>
  </w:style>
  <w:style w:type="paragraph" w:styleId="K-Nadpis3" w:customStyle="1">
    <w:name w:val="K-Nadpis3"/>
    <w:basedOn w:val="Default"/>
    <w:link w:val="K-Nadpis3Char"/>
    <w:qFormat/>
    <w:rsid w:val="00154B73"/>
    <w:pPr>
      <w:spacing w:after="120"/>
      <w:jc w:val="both"/>
    </w:pPr>
    <w:rPr>
      <w:b/>
      <w:szCs w:val="23"/>
    </w:rPr>
  </w:style>
  <w:style w:type="character" w:styleId="K-Nadpis2Char" w:customStyle="1">
    <w:name w:val="K-Nadpis2 Char"/>
    <w:basedOn w:val="Nadpis2Char"/>
    <w:link w:val="K-Nadpis2"/>
    <w:rsid w:val="00154B73"/>
    <w:rPr>
      <w:rFonts w:ascii="Times New Roman" w:hAnsi="Times New Roman" w:cs="Times New Roman" w:eastAsiaTheme="majorEastAsia"/>
      <w:b/>
      <w:color w:val="000000" w:themeColor="text1"/>
      <w:sz w:val="28"/>
      <w:szCs w:val="28"/>
    </w:rPr>
  </w:style>
  <w:style w:type="paragraph" w:styleId="K-Text" w:customStyle="1">
    <w:name w:val="K-Text"/>
    <w:basedOn w:val="Normln"/>
    <w:link w:val="K-TextChar"/>
    <w:qFormat/>
    <w:rsid w:val="006F1BEA"/>
    <w:pPr>
      <w:spacing w:after="120"/>
      <w:jc w:val="both"/>
    </w:pPr>
    <w:rPr>
      <w:rFonts w:ascii="Times New Roman" w:hAnsi="Times New Roman" w:cs="Times New Roman"/>
      <w:iCs/>
      <w:color w:val="auto"/>
      <w:sz w:val="23"/>
      <w:szCs w:val="23"/>
    </w:rPr>
  </w:style>
  <w:style w:type="character" w:styleId="DefaultChar" w:customStyle="1">
    <w:name w:val="Default Char"/>
    <w:basedOn w:val="Standardnpsmoodstavce"/>
    <w:link w:val="Default"/>
    <w:rsid w:val="00154B73"/>
    <w:rPr>
      <w:rFonts w:ascii="Times New Roman" w:hAnsi="Times New Roman" w:cs="Times New Roman"/>
      <w:color w:val="000000"/>
      <w:sz w:val="24"/>
      <w:szCs w:val="24"/>
    </w:rPr>
  </w:style>
  <w:style w:type="character" w:styleId="K-Nadpis3Char" w:customStyle="1">
    <w:name w:val="K-Nadpis3 Char"/>
    <w:basedOn w:val="DefaultChar"/>
    <w:link w:val="K-Nadpis3"/>
    <w:rsid w:val="00154B73"/>
    <w:rPr>
      <w:rFonts w:ascii="Times New Roman" w:hAnsi="Times New Roman" w:cs="Times New Roman"/>
      <w:b/>
      <w:color w:val="000000"/>
      <w:sz w:val="24"/>
      <w:szCs w:val="23"/>
    </w:rPr>
  </w:style>
  <w:style w:type="paragraph" w:styleId="K-TextInfo" w:customStyle="1">
    <w:name w:val="K-Text_Info"/>
    <w:basedOn w:val="Default"/>
    <w:link w:val="K-TextInfoChar"/>
    <w:qFormat/>
    <w:rsid w:val="00ED337B"/>
    <w:pPr>
      <w:spacing w:after="120"/>
      <w:jc w:val="both"/>
    </w:pPr>
    <w:rPr>
      <w:i/>
      <w:iCs/>
      <w:color w:val="2196FF" w:themeColor="text2" w:themeTint="99"/>
      <w:sz w:val="23"/>
      <w:szCs w:val="23"/>
    </w:rPr>
  </w:style>
  <w:style w:type="character" w:styleId="K-TextChar" w:customStyle="1">
    <w:name w:val="K-Text Char"/>
    <w:basedOn w:val="Standardnpsmoodstavce"/>
    <w:link w:val="K-Text"/>
    <w:rsid w:val="006F1BEA"/>
    <w:rPr>
      <w:rFonts w:ascii="Times New Roman" w:hAnsi="Times New Roman" w:cs="Times New Roman"/>
      <w:iCs/>
      <w:sz w:val="23"/>
      <w:szCs w:val="23"/>
    </w:rPr>
  </w:style>
  <w:style w:type="paragraph" w:styleId="K-Tabulka" w:customStyle="1">
    <w:name w:val="K-Tabulka"/>
    <w:basedOn w:val="Default"/>
    <w:link w:val="K-TabulkaChar"/>
    <w:qFormat/>
    <w:rsid w:val="00ED337B"/>
    <w:pPr>
      <w:spacing w:after="120"/>
      <w:jc w:val="both"/>
    </w:pPr>
    <w:rPr>
      <w:b/>
      <w:bCs/>
      <w:color w:val="auto"/>
      <w:sz w:val="23"/>
      <w:szCs w:val="23"/>
    </w:rPr>
  </w:style>
  <w:style w:type="character" w:styleId="K-TextInfoChar" w:customStyle="1">
    <w:name w:val="K-Text_Info Char"/>
    <w:basedOn w:val="DefaultChar"/>
    <w:link w:val="K-TextInfo"/>
    <w:rsid w:val="00ED337B"/>
    <w:rPr>
      <w:rFonts w:ascii="Times New Roman" w:hAnsi="Times New Roman" w:cs="Times New Roman"/>
      <w:i/>
      <w:iCs/>
      <w:color w:val="2196FF" w:themeColor="text2" w:themeTint="99"/>
      <w:sz w:val="23"/>
      <w:szCs w:val="23"/>
    </w:rPr>
  </w:style>
  <w:style w:type="paragraph" w:styleId="K-TextPozn" w:customStyle="1">
    <w:name w:val="K-Text_Pozn"/>
    <w:basedOn w:val="Textpoznpodarou"/>
    <w:link w:val="K-TextPoznChar"/>
    <w:qFormat/>
    <w:rsid w:val="00A87B13"/>
    <w:rPr>
      <w:rFonts w:ascii="Times New Roman" w:hAnsi="Times New Roman" w:cs="Times New Roman"/>
    </w:rPr>
  </w:style>
  <w:style w:type="character" w:styleId="K-TabulkaChar" w:customStyle="1">
    <w:name w:val="K-Tabulka Char"/>
    <w:basedOn w:val="DefaultChar"/>
    <w:link w:val="K-Tabulka"/>
    <w:rsid w:val="00ED337B"/>
    <w:rPr>
      <w:rFonts w:ascii="Times New Roman" w:hAnsi="Times New Roman" w:cs="Times New Roman"/>
      <w:b/>
      <w:bCs/>
      <w:color w:val="000000"/>
      <w:sz w:val="23"/>
      <w:szCs w:val="23"/>
    </w:rPr>
  </w:style>
  <w:style w:type="character" w:styleId="K-TextPoznChar" w:customStyle="1">
    <w:name w:val="K-Text_Pozn Char"/>
    <w:basedOn w:val="TextpoznpodarouChar"/>
    <w:link w:val="K-TextPozn"/>
    <w:rsid w:val="00A87B13"/>
    <w:rPr>
      <w:rFonts w:ascii="Times New Roman" w:hAnsi="Times New Roman" w:cs="Times New Roman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B111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114A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rsid w:val="00B1114A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14A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B1114A"/>
    <w:rPr>
      <w:b/>
      <w:bCs/>
      <w:color w:val="000000" w:themeColor="tex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B1114A"/>
    <w:rPr>
      <w:rFonts w:ascii="Segoe UI" w:hAnsi="Segoe UI" w:cs="Segoe UI"/>
      <w:color w:val="000000" w:themeColor="text1"/>
      <w:sz w:val="18"/>
      <w:szCs w:val="18"/>
    </w:rPr>
  </w:style>
  <w:style w:type="table" w:styleId="Mkatabulky">
    <w:name w:val="Table Grid"/>
    <w:basedOn w:val="Normlntabulka"/>
    <w:uiPriority w:val="39"/>
    <w:rsid w:val="0085246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riefinglist1" w:customStyle="1">
    <w:name w:val="Briefing list 1"/>
    <w:basedOn w:val="Normln"/>
    <w:rsid w:val="005031B0"/>
    <w:pPr>
      <w:keepLines/>
      <w:tabs>
        <w:tab w:val="left" w:pos="284"/>
      </w:tabs>
      <w:spacing w:after="120" w:line="240" w:lineRule="auto"/>
      <w:ind w:left="284" w:hanging="284"/>
      <w:jc w:val="both"/>
    </w:pPr>
    <w:rPr>
      <w:rFonts w:ascii="Arial" w:hAnsi="Arial" w:eastAsia="Times New Roman" w:cs="Arial"/>
      <w:color w:val="auto"/>
      <w:szCs w:val="24"/>
      <w:lang w:val="en-GB"/>
    </w:rPr>
  </w:style>
  <w:style w:type="character" w:styleId="Siln">
    <w:name w:val="Strong"/>
    <w:basedOn w:val="Standardnpsmoodstavce"/>
    <w:uiPriority w:val="22"/>
    <w:qFormat/>
    <w:rsid w:val="000B656E"/>
    <w:rPr>
      <w:b/>
      <w:bCs/>
    </w:rPr>
  </w:style>
  <w:style w:type="paragraph" w:styleId="paragraph" w:customStyle="1">
    <w:name w:val="paragraph"/>
    <w:basedOn w:val="Normln"/>
    <w:rsid w:val="00DF7E7D"/>
    <w:pPr>
      <w:spacing w:before="100" w:beforeAutospacing="1" w:after="100" w:afterAutospacing="1" w:line="240" w:lineRule="auto"/>
    </w:pPr>
    <w:rPr>
      <w:rFonts w:ascii="Calibri" w:hAnsi="Calibri" w:cs="Calibri"/>
      <w:color w:val="auto"/>
      <w:lang w:eastAsia="cs-CZ"/>
    </w:rPr>
  </w:style>
  <w:style w:type="character" w:styleId="normaltextrun" w:customStyle="1">
    <w:name w:val="normaltextrun"/>
    <w:basedOn w:val="Standardnpsmoodstavce"/>
    <w:rsid w:val="00DF7E7D"/>
  </w:style>
  <w:style w:type="character" w:styleId="eop" w:customStyle="1">
    <w:name w:val="eop"/>
    <w:basedOn w:val="Standardnpsmoodstavce"/>
    <w:rsid w:val="00DF7E7D"/>
  </w:style>
  <w:style w:type="paragraph" w:styleId="Revize">
    <w:name w:val="Revision"/>
    <w:hidden/>
    <w:uiPriority w:val="99"/>
    <w:semiHidden/>
    <w:rsid w:val="002B2226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747307">
          <w:marLeft w:val="5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00532">
          <w:marLeft w:val="5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0961">
          <w:marLeft w:val="5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77855">
          <w:marLeft w:val="5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5293">
          <w:marLeft w:val="5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0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417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0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1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385381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16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82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97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080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20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9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620834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8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9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4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08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510754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1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4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458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52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20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180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9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5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73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743906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3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5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82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38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9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835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2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664014">
          <w:marLeft w:val="5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0360">
          <w:marLeft w:val="5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2602">
          <w:marLeft w:val="5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glossaryDocument" Target="/word/glossary/document.xml" Id="Rafaa768351574967" /></Relationships>
</file>

<file path=word/_rels/footnotes.xml.rels>&#65279;<?xml version="1.0" encoding="utf-8"?><Relationships xmlns="http://schemas.openxmlformats.org/package/2006/relationships"><Relationship Type="http://schemas.openxmlformats.org/officeDocument/2006/relationships/hyperlink" Target="https://www.ceitec.eu/" TargetMode="External" Id="rId8" /><Relationship Type="http://schemas.openxmlformats.org/officeDocument/2006/relationships/hyperlink" Target="https://www.fraunhofer.de/en/institutes.html" TargetMode="External" Id="rId13" /><Relationship Type="http://schemas.openxmlformats.org/officeDocument/2006/relationships/hyperlink" Target="https://ideaapps.cerge-ei.cz/Performance2017/" TargetMode="External" Id="rId18" /><Relationship Type="http://schemas.openxmlformats.org/officeDocument/2006/relationships/hyperlink" Target="https://www.fnusa-icrc.org/en" TargetMode="External" Id="rId26" /><Relationship Type="http://schemas.openxmlformats.org/officeDocument/2006/relationships/hyperlink" Target="https://doi.org/10.1111/hir.12311" TargetMode="External" Id="rId21" /><Relationship Type="http://schemas.openxmlformats.org/officeDocument/2006/relationships/hyperlink" Target="https://www.isvavai.cz/cep?s=jednoduche-vyhledavani&amp;ss=detail&amp;n=0&amp;h=LQ1601" TargetMode="External" Id="rId7" /><Relationship Type="http://schemas.openxmlformats.org/officeDocument/2006/relationships/hyperlink" Target="https://www.mpg.de/institutes" TargetMode="External" Id="rId12" /><Relationship Type="http://schemas.openxmlformats.org/officeDocument/2006/relationships/hyperlink" Target="https://www.vyzkum.cz/FrontClanek.aspx?idsekce=847179" TargetMode="External" Id="rId17" /><Relationship Type="http://schemas.openxmlformats.org/officeDocument/2006/relationships/hyperlink" Target="https://www.ceitec.eu/" TargetMode="External" Id="rId25" /><Relationship Type="http://schemas.openxmlformats.org/officeDocument/2006/relationships/hyperlink" Target="https://koronavirus.mzcr.cz/wp-content/uploads/2020/11/Data-o-celkov%C3%A9-mortalit%C4%9B-a-o-p%C5%99%C3%AD%C4%8Din%C3%A1ch-%C3%BAmrt%C3%AD-pacient%C5%AF-s-covid-19.pdf" TargetMode="External" Id="rId16" /><Relationship Type="http://schemas.openxmlformats.org/officeDocument/2006/relationships/hyperlink" Target="https://opvvv.msmt.cz/balicek-dokumentu/vyhodnoceni-vyzvy-rozvoj-kapacit-pro-vav.htm" TargetMode="External" Id="rId20" /><Relationship Type="http://schemas.openxmlformats.org/officeDocument/2006/relationships/hyperlink" Target="https://www.isvavai.cz/cea?s=programy&amp;ss=detail&amp;n=0&amp;h=LQ" TargetMode="External" Id="rId6" /><Relationship Type="http://schemas.openxmlformats.org/officeDocument/2006/relationships/hyperlink" Target="https://www.isvavai.cz/" TargetMode="External" Id="rId11" /><Relationship Type="http://schemas.openxmlformats.org/officeDocument/2006/relationships/hyperlink" Target="https://www.biocev.eu/en/researc%20;%20" TargetMode="External" Id="rId24" /><Relationship Type="http://schemas.openxmlformats.org/officeDocument/2006/relationships/hyperlink" Target="https://www.czso.cz/csu/czso/ceska-republika-podle-pohlavi-a-veku-2010-2019" TargetMode="External" Id="rId15" /><Relationship Type="http://schemas.openxmlformats.org/officeDocument/2006/relationships/hyperlink" Target="https://zdravi2030.mzcr.cz/" TargetMode="External" Id="rId23" /><Relationship Type="http://schemas.openxmlformats.org/officeDocument/2006/relationships/hyperlink" Target="https://www.isvavai.cz/cea?s=programy&amp;ss=detail&amp;n=0&amp;h=LQ" TargetMode="External" Id="rId28" /><Relationship Type="http://schemas.openxmlformats.org/officeDocument/2006/relationships/hyperlink" Target="https://www.isvavai.cz/cep?s=jednoduche-vyhledavani&amp;ss=detail&amp;n=0&amp;h=LQ1605" TargetMode="External" Id="rId10" /><Relationship Type="http://schemas.openxmlformats.org/officeDocument/2006/relationships/hyperlink" Target="https://opvvv.msmt.cz/balicek-dokumentu/vyhodnoceni-pokryti-podporovanych-aktivit-prioritni-osy-1-a-2-vyzvami-operacniho-programu-vyzkum-vyvoj-a-vzdelavani.htm" TargetMode="External" Id="rId19" /><Relationship Type="http://schemas.openxmlformats.org/officeDocument/2006/relationships/hyperlink" Target="https://www.ceitec.cz/" TargetMode="External" Id="rId9" /><Relationship Type="http://schemas.openxmlformats.org/officeDocument/2006/relationships/hyperlink" Target="https://www.czso.cz/csu/czso/v-roce-2020-zemrelo-pres-129-tisic-obyvatel-ceska" TargetMode="External" Id="rId14" /><Relationship Type="http://schemas.openxmlformats.org/officeDocument/2006/relationships/hyperlink" Target="https://genderaveda.cz/vyzkum" TargetMode="External" Id="rId22" /><Relationship Type="http://schemas.openxmlformats.org/officeDocument/2006/relationships/hyperlink" Target="https://www.isvavai.cz/" TargetMode="External" Id="rId27" /><Relationship Type="http://schemas.openxmlformats.org/officeDocument/2006/relationships/hyperlink" Target="https://doi.org/10.1038/s41591-020-1011-4" TargetMode="External" Id="Raef4371899084b6e" /><Relationship Type="http://schemas.openxmlformats.org/officeDocument/2006/relationships/hyperlink" Target="https://doi.org/10.1111/hir.12311" TargetMode="External" Id="Rc37bf83e42bd49bd" /><Relationship Type="http://schemas.openxmlformats.org/officeDocument/2006/relationships/hyperlink" Target="https://www.czso.cz/csu/czso/v-roce-2020-zemrelo-pres-129-tisic-obyvatel-ceska" TargetMode="External" Id="Rb1ee25662ffe4467" /><Relationship Type="http://schemas.openxmlformats.org/officeDocument/2006/relationships/hyperlink" Target="https://www.czso.cz/csu/czso/ceska-republika-podle-pohlavi-a-veku-2010-2019" TargetMode="External" Id="R8fa87dcfeca64dce" /><Relationship Type="http://schemas.openxmlformats.org/officeDocument/2006/relationships/hyperlink" Target="https://www.czso.cz/documents/10180/90577099/26000519k3_1.pdf/90c9db8f-65b4-4cf2-9f44-d26228d62a5e?version=1.0" TargetMode="External" Id="Rdc53ae8b9171407b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49748-9487-4876-98f3-7405f5e1cab3}"/>
      </w:docPartPr>
      <w:docPartBody>
        <w:p w14:paraId="30C2E86D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6AFFD6CE014942BF86BBEEBCBDDF03" ma:contentTypeVersion="4" ma:contentTypeDescription="Vytvoří nový dokument" ma:contentTypeScope="" ma:versionID="3315f90b68d7ff528cae1b4173dfaf0c">
  <xsd:schema xmlns:xsd="http://www.w3.org/2001/XMLSchema" xmlns:xs="http://www.w3.org/2001/XMLSchema" xmlns:p="http://schemas.microsoft.com/office/2006/metadata/properties" xmlns:ns2="295e6b08-c03f-4e1d-b56f-d1230bb11cb2" targetNamespace="http://schemas.microsoft.com/office/2006/metadata/properties" ma:root="true" ma:fieldsID="48231d5730ab131bd6474186d360d693" ns2:_="">
    <xsd:import namespace="295e6b08-c03f-4e1d-b56f-d1230bb11c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e6b08-c03f-4e1d-b56f-d1230bb11c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1758E-458E-400C-A4E9-7E535E591B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F5E84-47A9-4C74-9832-7DADC55C9F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B024E4-2804-4E33-843F-913AC1F5E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e6b08-c03f-4e1d-b56f-d1230bb11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6E9FC1-30B4-41D4-BA91-6BC92E5B058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Ministerstvo průmyslu a obchodu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Pápai Adam</dc:creator>
  <keywords/>
  <dc:description/>
  <lastModifiedBy>Truchlá Petra</lastModifiedBy>
  <revision>6</revision>
  <dcterms:created xsi:type="dcterms:W3CDTF">2021-05-14T14:17:00.0000000Z</dcterms:created>
  <dcterms:modified xsi:type="dcterms:W3CDTF">2021-05-14T14:22:17.8413612Z</dcterms:modified>
  <contentStatus>Konečný</contentStatus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0x010100FD6AFFD6CE014942BF86BBEEBCBDDF03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60bbedab-f4cb-49c6-b747-4841e7741ed8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2021-05-14T14:17:18Z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</Properties>
</file>