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98CE0" w14:textId="77777777" w:rsidR="002C20CF" w:rsidRPr="00914682" w:rsidRDefault="04A4675F" w:rsidP="75B88526">
      <w:pPr>
        <w:pStyle w:val="K-Nadpis1"/>
        <w:rPr>
          <w:rFonts w:asciiTheme="minorHAnsi" w:eastAsiaTheme="minorEastAsia" w:hAnsiTheme="minorHAnsi" w:cstheme="minorBidi"/>
          <w:bCs/>
          <w:color w:val="auto"/>
          <w:sz w:val="28"/>
          <w:szCs w:val="28"/>
        </w:rPr>
      </w:pPr>
      <w:bookmarkStart w:id="0" w:name="_Hlk58308961"/>
      <w:bookmarkStart w:id="1" w:name="_GoBack"/>
      <w:bookmarkEnd w:id="1"/>
      <w:r w:rsidRPr="75B88526">
        <w:rPr>
          <w:rFonts w:asciiTheme="minorHAnsi" w:eastAsiaTheme="minorEastAsia" w:hAnsiTheme="minorHAnsi" w:cstheme="minorBidi"/>
          <w:color w:val="auto"/>
          <w:sz w:val="28"/>
          <w:szCs w:val="28"/>
        </w:rPr>
        <w:t>2</w:t>
      </w:r>
      <w:r w:rsidR="70ED7EE9" w:rsidRPr="75B88526"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 w:rsidRPr="75B88526">
        <w:rPr>
          <w:rFonts w:asciiTheme="minorHAnsi" w:eastAsiaTheme="minorEastAsia" w:hAnsiTheme="minorHAnsi" w:cstheme="minorBidi"/>
          <w:color w:val="auto"/>
          <w:sz w:val="28"/>
          <w:szCs w:val="28"/>
        </w:rPr>
        <w:t>4</w:t>
      </w:r>
      <w:r w:rsidR="70ED7EE9" w:rsidRPr="75B88526"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  <w:r w:rsidRPr="75B88526"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Rozvoj čisté mobility </w:t>
      </w:r>
      <w:bookmarkEnd w:id="0"/>
      <w:r w:rsidRPr="75B88526">
        <w:rPr>
          <w:rFonts w:asciiTheme="minorHAnsi" w:eastAsiaTheme="minorEastAsia" w:hAnsiTheme="minorHAnsi" w:cstheme="minorBidi"/>
          <w:bCs/>
          <w:color w:val="auto"/>
          <w:sz w:val="28"/>
          <w:szCs w:val="28"/>
        </w:rPr>
        <w:t>(MPO)</w:t>
      </w:r>
    </w:p>
    <w:p w14:paraId="6B5FF0E2" w14:textId="47DBEE52" w:rsidR="16744944" w:rsidRDefault="16744944" w:rsidP="75B88526">
      <w:pPr>
        <w:pStyle w:val="Nadpis2"/>
        <w:tabs>
          <w:tab w:val="center" w:pos="4819"/>
        </w:tabs>
        <w:spacing w:after="120"/>
        <w:rPr>
          <w:rStyle w:val="K-Nadpis2Char"/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</w:pPr>
      <w:r w:rsidRPr="75B88526">
        <w:rPr>
          <w:rStyle w:val="K-Nadpis2Char"/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 xml:space="preserve">1. </w:t>
      </w:r>
      <w:r w:rsidR="08918AEE" w:rsidRPr="75B88526">
        <w:rPr>
          <w:rStyle w:val="K-Nadpis2Char"/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>Popis</w:t>
      </w:r>
      <w:r w:rsidRPr="75B88526">
        <w:rPr>
          <w:rStyle w:val="K-Nadpis2Char"/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 xml:space="preserve"> </w:t>
      </w:r>
      <w:r w:rsidR="08918AEE" w:rsidRPr="75B88526">
        <w:rPr>
          <w:rStyle w:val="K-Nadpis2Char"/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>komponenty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75B88526" w14:paraId="13DBAF9D" w14:textId="77777777" w:rsidTr="75B8852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810CDB" w14:textId="49264F08" w:rsidR="0E98BBA9" w:rsidRDefault="0E98BBA9" w:rsidP="75B88526">
            <w:pPr>
              <w:spacing w:after="0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75B88526">
              <w:rPr>
                <w:rFonts w:eastAsiaTheme="minorEastAsia"/>
                <w:b/>
                <w:bCs/>
                <w:sz w:val="20"/>
                <w:szCs w:val="20"/>
              </w:rPr>
              <w:t xml:space="preserve">Rozvoj čisté mobility </w:t>
            </w:r>
          </w:p>
          <w:p w14:paraId="0219F348" w14:textId="53B1CBAD" w:rsidR="75B88526" w:rsidRDefault="75B88526" w:rsidP="75B88526">
            <w:pPr>
              <w:pStyle w:val="Default"/>
              <w:spacing w:after="120"/>
              <w:jc w:val="both"/>
              <w:rPr>
                <w:rStyle w:val="K-TextInfoChar"/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  <w:lang w:val="en-GB"/>
              </w:rPr>
            </w:pPr>
            <w:r w:rsidRPr="75B88526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Oblast politiky: </w:t>
            </w:r>
            <w:r w:rsidR="653928D3" w:rsidRPr="75B88526">
              <w:rPr>
                <w:rStyle w:val="K-TextInfoChar"/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  <w:lang w:val="en-GB"/>
              </w:rPr>
              <w:t>EK: clean mobility and transport; urban mobility and transport; deployment of alternative fuels infrastructure; CO2 emission performance standards for new passenger cars and for new light commercial vehicles; energy from renewable sources; energy efficiency; climate policy; energy policy; industrial policy</w:t>
            </w:r>
          </w:p>
          <w:p w14:paraId="13B03411" w14:textId="3AD8081A" w:rsidR="75B88526" w:rsidRDefault="75B88526" w:rsidP="75B88526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75B88526">
              <w:rPr>
                <w:rFonts w:eastAsiaTheme="minorEastAsia"/>
                <w:b/>
                <w:bCs/>
                <w:sz w:val="20"/>
                <w:szCs w:val="20"/>
              </w:rPr>
              <w:t xml:space="preserve">Cíl: </w:t>
            </w:r>
          </w:p>
          <w:p w14:paraId="568BD912" w14:textId="37D60CD2" w:rsidR="39AB16E1" w:rsidRDefault="39AB16E1" w:rsidP="75B88526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Style w:val="K-TextChar"/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Cílem je urychlit výstavbu dobíjecích a plnicích stanic pro alternativní paliva a zvýšit penetraci vozidel na alternativní paliva. </w:t>
            </w:r>
          </w:p>
          <w:p w14:paraId="2A3C1B1F" w14:textId="77777777" w:rsidR="39AB16E1" w:rsidRDefault="39AB16E1" w:rsidP="75B88526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Style w:val="K-TextChar"/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>Komponenta počítá s podporou zaměřenou na budování infrastruktury dobíjecích a plnících stanic a pořízení nízkoemisních a bezemisních vozidel na alternativní paliva.</w:t>
            </w:r>
          </w:p>
          <w:p w14:paraId="272BC6C5" w14:textId="781C65A5" w:rsidR="75B88526" w:rsidRDefault="75B88526" w:rsidP="75B88526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75B88526">
              <w:rPr>
                <w:rFonts w:eastAsiaTheme="minorEastAsia"/>
                <w:b/>
                <w:bCs/>
                <w:sz w:val="20"/>
                <w:szCs w:val="20"/>
              </w:rPr>
              <w:t xml:space="preserve">Reformy a investice: </w:t>
            </w:r>
          </w:p>
          <w:p w14:paraId="613E002C" w14:textId="77777777" w:rsidR="30A0DC28" w:rsidRDefault="30A0DC28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u w:val="single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u w:val="single"/>
              </w:rPr>
              <w:t xml:space="preserve">1. Budování infrastruktury </w:t>
            </w:r>
          </w:p>
          <w:p w14:paraId="68F05D55" w14:textId="77777777" w:rsidR="30A0DC28" w:rsidRDefault="30A0DC28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Budování infrastruktury pro veřejnou dopravu (Praha) (gesce Hl. město Praha) </w:t>
            </w:r>
          </w:p>
          <w:p w14:paraId="447B1E0B" w14:textId="77777777" w:rsidR="30A0DC28" w:rsidRDefault="30A0DC28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Budování neveřejné infrastruktury pro podnikatele (gesce MPO) </w:t>
            </w:r>
          </w:p>
          <w:p w14:paraId="193252B0" w14:textId="77777777" w:rsidR="30A0DC28" w:rsidRDefault="30A0DC28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Budování dobíjecích bodů pro obytné budovy (gesce MŽP) </w:t>
            </w:r>
          </w:p>
          <w:p w14:paraId="1D5F71F3" w14:textId="77777777" w:rsidR="75B88526" w:rsidRDefault="75B88526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  <w:p w14:paraId="6C40AE82" w14:textId="77777777" w:rsidR="30A0DC28" w:rsidRDefault="30A0DC28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u w:val="single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u w:val="single"/>
              </w:rPr>
              <w:t xml:space="preserve">2. Podpora nákupu vozidel </w:t>
            </w:r>
          </w:p>
          <w:p w14:paraId="5CF34D3E" w14:textId="77777777" w:rsidR="30A0DC28" w:rsidRDefault="30A0DC28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Vozidla (el, H2) pro podnikatelské subjekty včetně e-cargokol (gesce MPO) </w:t>
            </w:r>
          </w:p>
          <w:p w14:paraId="281224B2" w14:textId="77777777" w:rsidR="30A0DC28" w:rsidRDefault="30A0DC28" w:rsidP="75B88526">
            <w:pPr>
              <w:pStyle w:val="Defaul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nákupu vozidel (el, H2) a neveřejné dobíjecí infrastruktury pro obce, kraje, státní správu (gesce MŽP)</w:t>
            </w:r>
          </w:p>
          <w:p w14:paraId="699D1637" w14:textId="77777777" w:rsidR="30A0DC28" w:rsidRDefault="30A0DC28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>Vozidla (bateriové trolejbusy a nízkopodlažní tramvaje) pro veřejnou hromadnou dopravu v Hlavním městě Praha (gesce Hl. město Praha)</w:t>
            </w:r>
          </w:p>
          <w:p w14:paraId="697DEB17" w14:textId="77777777" w:rsidR="75B88526" w:rsidRDefault="75B88526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  <w:p w14:paraId="5A32EADE" w14:textId="77777777" w:rsidR="30A0DC28" w:rsidRDefault="30A0DC28" w:rsidP="75B88526">
            <w:pPr>
              <w:pStyle w:val="Default"/>
              <w:jc w:val="both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  <w:t>Flagship: Recharge and refuel</w:t>
            </w: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>. Komponenta váže mj. na vlajkovou iniciativu „Dobíjet a doplňovat palivo“ s cílem zvýšit počet dobíjecích a plnicích stanic pro alternativní paliva a vozidel s nulovými a nízkými emisemi, zrychlit využívání udržitelné, přístupné a inteligentní dopravy a podpořit rozvoj čistší, silnější a rozsáhlejší veřejné dopravy. V současnosti je v ČR (k 31.12.2020) dle statistiky Ministerstva průmyslu a obchodu 734 stanic, 1 516 dobíjecích bodů a 7 109 bateriových elektrických vozidel kategorie M1. Dle NAP CM je cílem pro rok 2030 - 220 000 – 500 000 elektromobilů a 19 000-35 000 dobíjecích bodů.</w:t>
            </w:r>
          </w:p>
          <w:p w14:paraId="1C9AAE55" w14:textId="49385EAF" w:rsidR="75B88526" w:rsidRDefault="75B88526" w:rsidP="75B88526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75B88526">
              <w:rPr>
                <w:rFonts w:eastAsiaTheme="minorEastAsia"/>
                <w:b/>
                <w:bCs/>
                <w:sz w:val="20"/>
                <w:szCs w:val="20"/>
              </w:rPr>
              <w:t xml:space="preserve">Odhadované náklady: </w:t>
            </w:r>
          </w:p>
          <w:p w14:paraId="5B2FEE4A" w14:textId="58DB8CCE" w:rsidR="24A56211" w:rsidRDefault="24A56211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>Celkové alokované prostředky na komponentu v NPO činí 4,934 mld. Kč.</w:t>
            </w:r>
          </w:p>
          <w:p w14:paraId="79F30B77" w14:textId="77777777" w:rsidR="24A56211" w:rsidRDefault="24A56211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>Celkové investiční výdaje na komponentu lze odhadnout na úrovni 9,573</w:t>
            </w:r>
            <w:r w:rsidRPr="75B88526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mld. </w:t>
            </w: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mld. Kč.</w:t>
            </w:r>
          </w:p>
          <w:p w14:paraId="3B16DF56" w14:textId="77777777" w:rsidR="24A56211" w:rsidRDefault="24A56211" w:rsidP="75B88526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75B8852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>Veškeré projekty budou zasmluvněny nejpozději ve 4Q 2023.</w:t>
            </w:r>
          </w:p>
          <w:p w14:paraId="28D87FCC" w14:textId="51A20748" w:rsidR="75B88526" w:rsidRDefault="75B88526" w:rsidP="75B88526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5DAB6C7B" w14:textId="77777777" w:rsidR="00914682" w:rsidRPr="00D10829" w:rsidRDefault="00914682" w:rsidP="75B8852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 w:cstheme="minorBidi"/>
          <w:color w:val="auto"/>
          <w:sz w:val="23"/>
          <w:szCs w:val="23"/>
        </w:rPr>
      </w:pPr>
    </w:p>
    <w:p w14:paraId="2A249A23" w14:textId="77777777" w:rsidR="00E7147F" w:rsidRPr="00D10829" w:rsidRDefault="68BFB6A4" w:rsidP="75B8852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bookmarkStart w:id="2" w:name="_Hlk71623270"/>
      <w:bookmarkStart w:id="3" w:name="_Hlk58311783"/>
      <w:bookmarkEnd w:id="2"/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Projekty rozvoje čisté mobility (podpora rozvoje dobíjecích stanic a vozidel na alternativní pohon) budou hrazeny také z OP TAK. Dvojímu financování projektů bude zamezeno nastavením takových procesů implementace a kontrolních mechanismů, které budou dostatečně garantovat splnění této podmínky dle nařízení (EU) 2021/241.</w:t>
      </w:r>
      <w:bookmarkEnd w:id="3"/>
    </w:p>
    <w:p w14:paraId="12327E44" w14:textId="53E9E018" w:rsidR="75B88526" w:rsidRDefault="75B88526" w:rsidP="75B88526">
      <w:pPr>
        <w:pStyle w:val="Default"/>
        <w:rPr>
          <w:rFonts w:eastAsia="Calibri"/>
          <w:color w:val="000000" w:themeColor="text1"/>
          <w:sz w:val="20"/>
          <w:szCs w:val="20"/>
        </w:rPr>
      </w:pPr>
    </w:p>
    <w:p w14:paraId="4CA1D67B" w14:textId="77777777" w:rsidR="002C20CF" w:rsidRPr="00D10829" w:rsidRDefault="16744944" w:rsidP="75B88526">
      <w:pPr>
        <w:pStyle w:val="K-Text"/>
        <w:keepNext/>
        <w:rPr>
          <w:rStyle w:val="K-Nadpis2Char"/>
          <w:rFonts w:asciiTheme="minorHAnsi" w:eastAsiaTheme="minorEastAsia" w:hAnsiTheme="minorHAnsi" w:cstheme="minorBidi"/>
          <w:color w:val="auto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2. </w:t>
      </w:r>
      <w:r w:rsidR="08918AEE" w:rsidRPr="75B88526">
        <w:rPr>
          <w:rStyle w:val="K-Nadpis2Char"/>
          <w:rFonts w:asciiTheme="minorHAnsi" w:eastAsiaTheme="minorEastAsia" w:hAnsiTheme="minorHAnsi" w:cstheme="minorBidi"/>
          <w:color w:val="auto"/>
          <w:sz w:val="20"/>
          <w:szCs w:val="20"/>
        </w:rPr>
        <w:t>Hlavní výzvy a</w:t>
      </w:r>
      <w:r w:rsidR="2B7D270A" w:rsidRPr="75B88526">
        <w:rPr>
          <w:rStyle w:val="K-Nadpis2Char"/>
          <w:rFonts w:asciiTheme="minorHAnsi" w:eastAsiaTheme="minorEastAsia" w:hAnsiTheme="minorHAnsi" w:cstheme="minorBidi"/>
          <w:color w:val="auto"/>
          <w:sz w:val="20"/>
          <w:szCs w:val="20"/>
        </w:rPr>
        <w:t> </w:t>
      </w:r>
      <w:r w:rsidR="08918AEE" w:rsidRPr="75B88526">
        <w:rPr>
          <w:rStyle w:val="K-Nadpis2Char"/>
          <w:rFonts w:asciiTheme="minorHAnsi" w:eastAsiaTheme="minorEastAsia" w:hAnsiTheme="minorHAnsi" w:cstheme="minorBidi"/>
          <w:color w:val="auto"/>
          <w:sz w:val="20"/>
          <w:szCs w:val="20"/>
        </w:rPr>
        <w:t>cíle</w:t>
      </w:r>
    </w:p>
    <w:p w14:paraId="72C83B9D" w14:textId="77777777" w:rsidR="002C20CF" w:rsidRPr="00D10829" w:rsidRDefault="16744944" w:rsidP="75B88526">
      <w:pPr>
        <w:pStyle w:val="Default"/>
        <w:spacing w:after="120" w:line="293" w:lineRule="auto"/>
        <w:jc w:val="both"/>
        <w:rPr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</w:pPr>
      <w:r w:rsidRPr="75B88526">
        <w:rPr>
          <w:rStyle w:val="K-Nadpis3Char"/>
          <w:rFonts w:asciiTheme="minorHAnsi" w:eastAsiaTheme="minorEastAsia" w:hAnsiTheme="minorHAnsi" w:cstheme="minorBidi"/>
          <w:color w:val="auto"/>
          <w:sz w:val="20"/>
          <w:szCs w:val="20"/>
        </w:rPr>
        <w:t xml:space="preserve">a) </w:t>
      </w:r>
      <w:r w:rsidR="08918AEE" w:rsidRPr="75B88526">
        <w:rPr>
          <w:rStyle w:val="K-Nadpis3Char"/>
          <w:rFonts w:asciiTheme="minorHAnsi" w:eastAsiaTheme="minorEastAsia" w:hAnsiTheme="minorHAnsi" w:cstheme="minorBidi"/>
          <w:color w:val="auto"/>
          <w:sz w:val="20"/>
          <w:szCs w:val="20"/>
        </w:rPr>
        <w:t>Hlavní výzvy</w:t>
      </w:r>
    </w:p>
    <w:p w14:paraId="150BC012" w14:textId="77777777" w:rsidR="003A6DFC" w:rsidRPr="00D10829" w:rsidRDefault="578628C3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Hlavní výzvou je učinit mobilitu udržitelnou, dostupnou více lidem a integrovat ji do multimodálního ekosystému ke zvýšení </w:t>
      </w:r>
      <w:r w:rsidR="06B77E41" w:rsidRPr="75B88526">
        <w:rPr>
          <w:rFonts w:eastAsiaTheme="minorEastAsia"/>
          <w:color w:val="auto"/>
          <w:sz w:val="20"/>
          <w:szCs w:val="20"/>
        </w:rPr>
        <w:t>efektivního dopravního řešení, která ulehčí stávající infrastruktuře, zkvalitní veřejný prostor a podpoří udržitelné druhy dopravy)</w:t>
      </w:r>
      <w:r w:rsidRPr="75B88526">
        <w:rPr>
          <w:rFonts w:eastAsiaTheme="minorEastAsia"/>
          <w:color w:val="auto"/>
          <w:sz w:val="20"/>
          <w:szCs w:val="20"/>
        </w:rPr>
        <w:t>.</w:t>
      </w:r>
    </w:p>
    <w:p w14:paraId="56098FB8" w14:textId="77777777" w:rsidR="003A6DFC" w:rsidRPr="00D10829" w:rsidRDefault="578628C3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Za nejvýraznější změnu kontextu rozvoje čisté mobility lze považovat přijetí tzv. Pařížské dohody o změně klimatu.  V této dohodě se signatářské země zavázaly udržet nárůst globální průměrné teploty výrazně pod hranicí 2 °C oproti </w:t>
      </w:r>
      <w:r w:rsidRPr="75B88526">
        <w:rPr>
          <w:rFonts w:eastAsiaTheme="minorEastAsia"/>
          <w:color w:val="auto"/>
          <w:sz w:val="20"/>
          <w:szCs w:val="20"/>
        </w:rPr>
        <w:lastRenderedPageBreak/>
        <w:t xml:space="preserve">hodnotám před průmyslovou revolucí a vyvinout úsilí o to, aby nárůst teploty nepřekročil hranici 1,5 °C oproti hodnotám před průmyslovou revolucí. </w:t>
      </w:r>
    </w:p>
    <w:p w14:paraId="1399269A" w14:textId="77777777" w:rsidR="003A6DFC" w:rsidRPr="00D10829" w:rsidRDefault="578628C3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Na úrovni Evropské unie je přitom velká snaha tento závazek nejen splnit, ale být v této oblasti i jedním z „tahounů“ celého procesu. Tomu odpovídá celá řada přijatých strategických dokumentů Evropské komise, z nichž tím nejaktuálnějším je Sdělení Komise „Čistá planeta: Evropská dlouhodobá vize prosperující, moderní, konkurenceschopné a klimaticky neutrální ekonomiky“ zdůrazňující potřebu dosáhnout do roku 2050 tzv. klimatické neutrality. Současně Komise v tomto dokumentu připouští, že elektrifikace za použití obnovitelných zdrojů energie sama o sobě není jediným řešením pro všechny druhy dopravy.</w:t>
      </w:r>
    </w:p>
    <w:p w14:paraId="22923659" w14:textId="77777777" w:rsidR="00143AA9" w:rsidRPr="00D10829" w:rsidRDefault="578628C3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V návaznosti na výše uvedený mezinárodní smluvní závazek bylo na úrovni EU v posledních letech přijato i několik nových právních předpisů, které do budoucna zásadním způsobem ovlivní směřování čisté mobility. Jde zejména o dvě nová nařízení, která stanoví značně ambiciózní výkonnostní emisní normy CO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2</w:t>
      </w:r>
      <w:r w:rsidRPr="75B88526">
        <w:rPr>
          <w:rFonts w:eastAsiaTheme="minorEastAsia"/>
          <w:color w:val="auto"/>
          <w:sz w:val="20"/>
          <w:szCs w:val="20"/>
        </w:rPr>
        <w:t xml:space="preserve"> pro nové osobní automobily, lehká užitková vozidla</w:t>
      </w:r>
      <w:r w:rsidR="3B906618" w:rsidRPr="75B88526">
        <w:rPr>
          <w:rFonts w:eastAsiaTheme="minorEastAsia"/>
          <w:color w:val="auto"/>
          <w:sz w:val="20"/>
          <w:szCs w:val="20"/>
        </w:rPr>
        <w:t xml:space="preserve"> (2019/631)</w:t>
      </w:r>
      <w:r w:rsidRPr="75B88526">
        <w:rPr>
          <w:rFonts w:eastAsiaTheme="minorEastAsia"/>
          <w:color w:val="auto"/>
          <w:sz w:val="20"/>
          <w:szCs w:val="20"/>
        </w:rPr>
        <w:t xml:space="preserve"> a nově i těžká vozidla </w:t>
      </w:r>
      <w:r w:rsidR="3B906618" w:rsidRPr="75B88526">
        <w:rPr>
          <w:rFonts w:eastAsiaTheme="minorEastAsia"/>
          <w:color w:val="auto"/>
          <w:sz w:val="20"/>
          <w:szCs w:val="20"/>
        </w:rPr>
        <w:t xml:space="preserve">(2019/1242) </w:t>
      </w:r>
      <w:r w:rsidRPr="75B88526">
        <w:rPr>
          <w:rFonts w:eastAsiaTheme="minorEastAsia"/>
          <w:color w:val="auto"/>
          <w:sz w:val="20"/>
          <w:szCs w:val="20"/>
        </w:rPr>
        <w:t>po roce 2020 a revizi směrnice 2009/33/ES o čistých vozidlech. Oblast elektromobility bude vedle toho do budoucna nově ovlivňovat regulace přijatá jako součást revize směrnice 2010/31/EU o energetické náročnosti budov.</w:t>
      </w:r>
    </w:p>
    <w:p w14:paraId="7577796B" w14:textId="77777777" w:rsidR="003A6DFC" w:rsidRPr="00D10829" w:rsidRDefault="578628C3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Hlavní výzvou je rovněž sdělení European Green Deal, které vydala EK v roce </w:t>
      </w:r>
      <w:r w:rsidR="3B906618" w:rsidRPr="75B88526">
        <w:rPr>
          <w:rFonts w:eastAsiaTheme="minorEastAsia"/>
          <w:color w:val="auto"/>
          <w:sz w:val="20"/>
          <w:szCs w:val="20"/>
        </w:rPr>
        <w:t>2019 a</w:t>
      </w:r>
      <w:r w:rsidRPr="75B88526">
        <w:rPr>
          <w:rFonts w:eastAsiaTheme="minorEastAsia"/>
          <w:color w:val="auto"/>
          <w:sz w:val="20"/>
          <w:szCs w:val="20"/>
        </w:rPr>
        <w:t xml:space="preserve"> které také ovlivní další vývoj čisté mobility. Jde o komplexní dokument popisující potřebné politiky a opatření k dosažení cíle klimatické neutrality EU do r. 2050. EK hodlá do léta 202</w:t>
      </w:r>
      <w:r w:rsidR="3B906618" w:rsidRPr="75B88526">
        <w:rPr>
          <w:rFonts w:eastAsiaTheme="minorEastAsia"/>
          <w:color w:val="auto"/>
          <w:sz w:val="20"/>
          <w:szCs w:val="20"/>
        </w:rPr>
        <w:t>1</w:t>
      </w:r>
      <w:r w:rsidRPr="75B88526">
        <w:rPr>
          <w:rFonts w:eastAsiaTheme="minorEastAsia"/>
          <w:color w:val="auto"/>
          <w:sz w:val="20"/>
          <w:szCs w:val="20"/>
        </w:rPr>
        <w:t xml:space="preserve"> navrhnout zpřísnění unijního cíle pro snížení emisí skleníkových plynů do r. 2030 (oproti r. 1990) ze stávajících -40 % na -50 % až -55 %.</w:t>
      </w:r>
    </w:p>
    <w:p w14:paraId="20DB8A29" w14:textId="77777777" w:rsidR="003A6DFC" w:rsidRPr="00D10829" w:rsidRDefault="578628C3" w:rsidP="75B88526">
      <w:pPr>
        <w:spacing w:after="120" w:line="240" w:lineRule="auto"/>
        <w:jc w:val="both"/>
        <w:rPr>
          <w:rFonts w:eastAsiaTheme="minorEastAsia"/>
          <w:b/>
          <w:bCs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Podporu čisté mobility je třeba vnímat i v souvislosti s naplňováním vnitrostátního plánu České republiky v oblasti energetiky a klimatu (Vnitrostátní plán), jehož návrh byl zpracován v roce 2018 na základě požadavku nařízení Evropského parlamentu a Rady (EU) 2018/1999 o správě energetické unie. Vnitrostátní plán byl vládou schválen dne 13. ledna 2020 a obsahuje cíle a politiky ve všech pěti rozměrech energetické unie na období 2021-2030 s výhledem do roku 2050. Shrnuje také politiky a opatření pro splnění cílů Energetické unie a dlouhodobých závazků spojených se snižováním emisí skleníkových plynů, přičemž oblast čisté mobility spadá do kategorie těchto politik. Návrh Vnitrostátního plánu v návaznosti na Směrnici EP a Rady 2018/2001 o podpoře využívání energie z OZE deklaruje dosažení podílu OZE na celkové spotřebě energií v dopravě v roce 2030 ve výši 14%, z čehož 7 % připadá na potravinářská biopaliva, 4,5 % na pokročilá biopaliva, 1,7 % na biopaliva dle části B (suroviny pro výrobu biopaliv a bioplynu pro dopravu) a 0,8 % na elektřinu.</w:t>
      </w:r>
    </w:p>
    <w:p w14:paraId="66F94311" w14:textId="77777777" w:rsidR="003A6DFC" w:rsidRPr="00D10829" w:rsidRDefault="578628C3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ČR reflektuje ambicióznost této nové EU legislativy a zohledňuje ji zejména při stanovení strategických cílů týkajících se rozvoje trhu vozidel pro jednotlivé typy alternativních paliv.  </w:t>
      </w:r>
    </w:p>
    <w:p w14:paraId="7FD5E89D" w14:textId="77777777" w:rsidR="003A6DFC" w:rsidRPr="00D10829" w:rsidRDefault="578628C3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Investiční podpora výstavby dobíjecích a plnicích stanic a tím spojená podpora nákupu nízkoemisních a bezemisních vozidel má za cíl zvýšit motivaci subjektů investovat do výstavby infrastruktury pro alternativní paliva. Tyto aktivity jsou v současnosti zatím ztrátové. Podpora nákupu vozidel na alternativní paliva má za cíl kompenzovat vyšší pořizovací cenu těchto vozidel, a tak zvýšit motivaci potenciálních zájemců ke koupi o tato vozidla.</w:t>
      </w:r>
    </w:p>
    <w:p w14:paraId="29F33AE1" w14:textId="77777777" w:rsidR="003B0BC8" w:rsidRPr="00D10829" w:rsidRDefault="3C28EEA5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Skutečností je, že sektor dopravy je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ČR druhým největším zdrojem emisí skleníkových plynů.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období 2000–2018 se emise CO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 xml:space="preserve">2 </w:t>
      </w:r>
      <w:r w:rsidRPr="75B88526">
        <w:rPr>
          <w:rFonts w:eastAsiaTheme="minorEastAsia"/>
          <w:color w:val="auto"/>
          <w:sz w:val="20"/>
          <w:szCs w:val="20"/>
        </w:rPr>
        <w:t>z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dopravy zvýšily o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66 %</w:t>
      </w:r>
      <w:r w:rsidR="0098436E" w:rsidRPr="75B88526">
        <w:rPr>
          <w:rStyle w:val="Znakapoznpodarou"/>
          <w:rFonts w:eastAsiaTheme="minorEastAsia"/>
          <w:color w:val="auto"/>
          <w:sz w:val="20"/>
          <w:szCs w:val="20"/>
        </w:rPr>
        <w:footnoteReference w:id="1"/>
      </w:r>
      <w:r w:rsidRPr="75B88526">
        <w:rPr>
          <w:rFonts w:eastAsiaTheme="minorEastAsia"/>
          <w:color w:val="auto"/>
          <w:sz w:val="20"/>
          <w:szCs w:val="20"/>
        </w:rPr>
        <w:t>.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rámci sektoru dopravy je pak největším producentem emisí CO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2</w:t>
      </w:r>
      <w:r w:rsidRPr="75B88526">
        <w:rPr>
          <w:rFonts w:eastAsiaTheme="minorEastAsia"/>
          <w:color w:val="auto"/>
          <w:sz w:val="20"/>
          <w:szCs w:val="20"/>
        </w:rPr>
        <w:t xml:space="preserve"> individuální automobilová doprava, následovaná silniční nákladní dopravou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silniční veřejnou dopravou.</w:t>
      </w:r>
    </w:p>
    <w:p w14:paraId="62038DC5" w14:textId="77777777" w:rsidR="00DC49F4" w:rsidRPr="00D10829" w:rsidRDefault="3C28EEA5" w:rsidP="75B88526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sz w:val="20"/>
          <w:szCs w:val="20"/>
        </w:rPr>
        <w:t>Doprava je v</w:t>
      </w:r>
      <w:r w:rsidR="2B7D270A" w:rsidRPr="75B88526">
        <w:rPr>
          <w:rFonts w:asciiTheme="minorHAnsi" w:eastAsiaTheme="minorEastAsia" w:hAnsiTheme="minorHAnsi" w:cstheme="minorBidi"/>
          <w:sz w:val="20"/>
          <w:szCs w:val="20"/>
        </w:rPr>
        <w:t> 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ČR i</w:t>
      </w:r>
      <w:r w:rsidR="2B7D270A" w:rsidRPr="75B88526">
        <w:rPr>
          <w:rFonts w:asciiTheme="minorHAnsi" w:eastAsiaTheme="minorEastAsia" w:hAnsiTheme="minorHAnsi" w:cstheme="minorBidi"/>
          <w:sz w:val="20"/>
          <w:szCs w:val="20"/>
        </w:rPr>
        <w:t> 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významným zdrojem znečišťujících látek (pevné částice frakce PM</w:t>
      </w:r>
      <w:r w:rsidRPr="75B88526">
        <w:rPr>
          <w:rFonts w:asciiTheme="minorHAnsi" w:eastAsiaTheme="minorEastAsia" w:hAnsiTheme="minorHAnsi" w:cstheme="minorBidi"/>
          <w:sz w:val="20"/>
          <w:szCs w:val="20"/>
          <w:vertAlign w:val="subscript"/>
        </w:rPr>
        <w:t>2,5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, PM</w:t>
      </w:r>
      <w:r w:rsidRPr="75B88526">
        <w:rPr>
          <w:rFonts w:asciiTheme="minorHAnsi" w:eastAsiaTheme="minorEastAsia" w:hAnsiTheme="minorHAnsi" w:cstheme="minorBidi"/>
          <w:sz w:val="20"/>
          <w:szCs w:val="20"/>
          <w:vertAlign w:val="subscript"/>
        </w:rPr>
        <w:t>10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, dále NO</w:t>
      </w:r>
      <w:r w:rsidRPr="75B88526">
        <w:rPr>
          <w:rFonts w:asciiTheme="minorHAnsi" w:eastAsiaTheme="minorEastAsia" w:hAnsiTheme="minorHAnsi" w:cstheme="minorBidi"/>
          <w:sz w:val="20"/>
          <w:szCs w:val="20"/>
          <w:vertAlign w:val="subscript"/>
        </w:rPr>
        <w:t>2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). Problém znečištění ze silniční dopravy se týká zejména velkých měst a</w:t>
      </w:r>
      <w:r w:rsidR="2B7D270A" w:rsidRPr="75B88526">
        <w:rPr>
          <w:rFonts w:asciiTheme="minorHAnsi" w:eastAsiaTheme="minorEastAsia" w:hAnsiTheme="minorHAnsi" w:cstheme="minorBidi"/>
          <w:sz w:val="20"/>
          <w:szCs w:val="20"/>
        </w:rPr>
        <w:t> 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aglomerací, ale nevyhýbá se také menším sídlům s</w:t>
      </w:r>
      <w:r w:rsidR="2B7D270A" w:rsidRPr="75B88526">
        <w:rPr>
          <w:rFonts w:asciiTheme="minorHAnsi" w:eastAsiaTheme="minorEastAsia" w:hAnsiTheme="minorHAnsi" w:cstheme="minorBidi"/>
          <w:sz w:val="20"/>
          <w:szCs w:val="20"/>
        </w:rPr>
        <w:t> 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vysokou intenzitou dopravy.</w:t>
      </w:r>
      <w:r w:rsidR="1996EC18" w:rsidRPr="75B88526">
        <w:rPr>
          <w:rFonts w:asciiTheme="minorHAnsi" w:eastAsiaTheme="minorEastAsia" w:hAnsiTheme="minorHAnsi" w:cstheme="minorBidi"/>
          <w:sz w:val="20"/>
          <w:szCs w:val="20"/>
        </w:rPr>
        <w:t xml:space="preserve"> ČR je rovněž významnou tranzitní zemí.</w:t>
      </w:r>
    </w:p>
    <w:p w14:paraId="6DA10075" w14:textId="77777777" w:rsidR="003B0BC8" w:rsidRPr="00D10829" w:rsidRDefault="3C28EEA5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Např. 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Praze se doprava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roce 2016 podílela na celkových emisích PM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2,5</w:t>
      </w:r>
      <w:r w:rsidRPr="75B88526">
        <w:rPr>
          <w:rFonts w:eastAsiaTheme="minorEastAsia"/>
          <w:color w:val="auto"/>
          <w:sz w:val="20"/>
          <w:szCs w:val="20"/>
        </w:rPr>
        <w:t xml:space="preserve"> téměř 50 %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na celkových emisích oxidů dusíku cca 75 %</w:t>
      </w:r>
      <w:r w:rsidR="0098436E" w:rsidRPr="75B88526">
        <w:rPr>
          <w:rStyle w:val="Znakapoznpodarou"/>
          <w:rFonts w:eastAsiaTheme="minorEastAsia"/>
          <w:color w:val="auto"/>
          <w:sz w:val="20"/>
          <w:szCs w:val="20"/>
        </w:rPr>
        <w:footnoteReference w:id="2"/>
      </w:r>
      <w:r w:rsidRPr="75B88526">
        <w:rPr>
          <w:rFonts w:eastAsiaTheme="minorEastAsia"/>
          <w:color w:val="auto"/>
          <w:sz w:val="20"/>
          <w:szCs w:val="20"/>
        </w:rPr>
        <w:t>.</w:t>
      </w:r>
    </w:p>
    <w:p w14:paraId="2D6E439F" w14:textId="77777777" w:rsidR="00904992" w:rsidRPr="00D10829" w:rsidRDefault="3C28EEA5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Z výše uvedeného vyplývá, že pro zlepšení kvality ovzduší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snižování emisí z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dopravy je žádoucí posílit zastoupení nízkoemisních způsobů dopravy, tedy čistou mobilitu. Tuto skutečnost zmiňují i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některé existující strategické dokumenty přijaté vládou ČR jako např. </w:t>
      </w:r>
      <w:bookmarkStart w:id="7" w:name="_Toc12540095"/>
      <w:bookmarkStart w:id="8" w:name="_Toc14039034"/>
      <w:r w:rsidRPr="75B88526">
        <w:rPr>
          <w:rFonts w:eastAsiaTheme="minorEastAsia"/>
          <w:color w:val="auto"/>
          <w:sz w:val="20"/>
          <w:szCs w:val="20"/>
        </w:rPr>
        <w:t>Státní politika životního prostředí</w:t>
      </w:r>
      <w:bookmarkEnd w:id="7"/>
      <w:bookmarkEnd w:id="8"/>
      <w:r w:rsidRPr="75B88526">
        <w:rPr>
          <w:rFonts w:eastAsiaTheme="minorEastAsia"/>
          <w:color w:val="auto"/>
          <w:sz w:val="20"/>
          <w:szCs w:val="20"/>
        </w:rPr>
        <w:t xml:space="preserve"> ČR, Politika ochrany klimatu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ČR,</w:t>
      </w:r>
      <w:bookmarkStart w:id="9" w:name="_Toc12540096"/>
      <w:bookmarkStart w:id="10" w:name="_Toc14039035"/>
      <w:r w:rsidRPr="75B88526">
        <w:rPr>
          <w:rFonts w:eastAsiaTheme="minorEastAsia"/>
          <w:color w:val="auto"/>
          <w:sz w:val="20"/>
          <w:szCs w:val="20"/>
        </w:rPr>
        <w:t xml:space="preserve"> Národní program snižování emisí ČR</w:t>
      </w:r>
      <w:bookmarkEnd w:id="9"/>
      <w:bookmarkEnd w:id="10"/>
      <w:r w:rsidRPr="75B88526">
        <w:rPr>
          <w:rFonts w:eastAsiaTheme="minorEastAsia"/>
          <w:color w:val="auto"/>
          <w:sz w:val="20"/>
          <w:szCs w:val="20"/>
        </w:rPr>
        <w:t>.</w:t>
      </w:r>
    </w:p>
    <w:p w14:paraId="39C07851" w14:textId="77777777" w:rsidR="002C20CF" w:rsidRPr="00D10829" w:rsidRDefault="16744944" w:rsidP="75B88526">
      <w:pPr>
        <w:pStyle w:val="K-Nadpis3"/>
        <w:keepNext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lastRenderedPageBreak/>
        <w:t xml:space="preserve">b) </w:t>
      </w:r>
      <w:r w:rsidR="08918AEE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Cíle</w:t>
      </w: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</w:p>
    <w:p w14:paraId="710D3732" w14:textId="77777777" w:rsidR="00436A3E" w:rsidRPr="00D10829" w:rsidRDefault="48E6EA9B" w:rsidP="75B88526">
      <w:pPr>
        <w:pStyle w:val="00Body"/>
        <w:spacing w:before="0" w:after="120" w:line="240" w:lineRule="auto"/>
        <w:jc w:val="both"/>
        <w:rPr>
          <w:rFonts w:asciiTheme="minorHAnsi" w:eastAsiaTheme="minorEastAsia" w:hAnsiTheme="minorHAnsi" w:cstheme="minorBidi"/>
          <w:sz w:val="20"/>
          <w:lang w:val="cs-CZ"/>
        </w:rPr>
      </w:pPr>
      <w:r w:rsidRPr="75B88526">
        <w:rPr>
          <w:rFonts w:asciiTheme="minorHAnsi" w:eastAsiaTheme="minorEastAsia" w:hAnsiTheme="minorHAnsi" w:cstheme="minorBidi"/>
          <w:sz w:val="20"/>
          <w:lang w:val="cs-CZ"/>
        </w:rPr>
        <w:t>Snahou České republiky je snížení emisí v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dopravě prostřednictvím opatření uvedených v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="73C8EB26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Aktualizaci 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Národní</w:t>
      </w:r>
      <w:r w:rsidR="73C8EB26" w:rsidRPr="75B88526">
        <w:rPr>
          <w:rFonts w:asciiTheme="minorHAnsi" w:eastAsiaTheme="minorEastAsia" w:hAnsiTheme="minorHAnsi" w:cstheme="minorBidi"/>
          <w:sz w:val="20"/>
          <w:lang w:val="cs-CZ"/>
        </w:rPr>
        <w:t>ho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akční</w:t>
      </w:r>
      <w:r w:rsidR="73C8EB26" w:rsidRPr="75B88526">
        <w:rPr>
          <w:rFonts w:asciiTheme="minorHAnsi" w:eastAsiaTheme="minorEastAsia" w:hAnsiTheme="minorHAnsi" w:cstheme="minorBidi"/>
          <w:sz w:val="20"/>
          <w:lang w:val="cs-CZ"/>
        </w:rPr>
        <w:t>ho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plánu čisté mobility, který vznikl na základě požadavku směrnice Evropského parlamentu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Rady 2014/94/EU o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zavádění infrastruktury pro alternativní paliva</w:t>
      </w:r>
      <w:r w:rsidR="52F801A2" w:rsidRPr="75B88526">
        <w:rPr>
          <w:rFonts w:asciiTheme="minorHAnsi" w:eastAsiaTheme="minorEastAsia" w:hAnsiTheme="minorHAnsi" w:cstheme="minorBidi"/>
          <w:sz w:val="20"/>
          <w:lang w:val="cs-CZ"/>
        </w:rPr>
        <w:t>, a</w:t>
      </w:r>
      <w:r w:rsidR="2B7D270A" w:rsidRPr="75B88526">
        <w:rPr>
          <w:rFonts w:asciiTheme="minorHAnsi" w:eastAsiaTheme="minorEastAsia" w:hAnsiTheme="minorHAnsi" w:cstheme="minorBidi"/>
          <w:sz w:val="20"/>
        </w:rPr>
        <w:t> </w:t>
      </w:r>
      <w:r w:rsidR="52F801A2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ze kterého vychází komponenta čistá mobilita. 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Zároveň se jedná o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podporu transformace automobilového průmyslu v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souvislosti s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přechodem na nízkoemisní mobilitu v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souladu s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Memorandem o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budoucnosti automobilového průmyslu.  </w:t>
      </w:r>
    </w:p>
    <w:p w14:paraId="273F89CC" w14:textId="77777777" w:rsidR="00F22C75" w:rsidRPr="0095286D" w:rsidRDefault="7EDC2A85" w:rsidP="75B88526">
      <w:pPr>
        <w:pStyle w:val="00Body"/>
        <w:spacing w:before="0" w:after="120" w:line="240" w:lineRule="auto"/>
        <w:jc w:val="both"/>
        <w:rPr>
          <w:rFonts w:asciiTheme="minorHAnsi" w:eastAsiaTheme="minorEastAsia" w:hAnsiTheme="minorHAnsi" w:cstheme="minorBidi"/>
          <w:sz w:val="20"/>
          <w:lang w:val="cs-CZ"/>
        </w:rPr>
      </w:pP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Cílem je rozvoj potřebné infrastruktury pro vozidla na alternativní paliva a zvýšení počtu těchto vozidel v České republice. To pomůže nastartování výroby a prodejů vozidel na alternativní paliva v ČR. Vazba tohoto cíle je v doporučeních EU pro ČR v rámci udržitelné dopravní infrastruktury. </w:t>
      </w:r>
    </w:p>
    <w:p w14:paraId="6F39B43E" w14:textId="77777777" w:rsidR="00436A3E" w:rsidRPr="0095286D" w:rsidRDefault="48E6EA9B" w:rsidP="75B88526">
      <w:pPr>
        <w:pStyle w:val="00Body"/>
        <w:spacing w:before="0" w:after="120" w:line="240" w:lineRule="auto"/>
        <w:jc w:val="both"/>
        <w:rPr>
          <w:rFonts w:asciiTheme="minorHAnsi" w:eastAsiaTheme="minorEastAsia" w:hAnsiTheme="minorHAnsi" w:cstheme="minorBidi"/>
          <w:sz w:val="20"/>
          <w:lang w:val="cs-CZ"/>
        </w:rPr>
      </w:pPr>
      <w:r w:rsidRPr="75B88526">
        <w:rPr>
          <w:rFonts w:asciiTheme="minorHAnsi" w:eastAsiaTheme="minorEastAsia" w:hAnsiTheme="minorHAnsi" w:cstheme="minorBidi"/>
          <w:sz w:val="20"/>
          <w:lang w:val="cs-CZ"/>
        </w:rPr>
        <w:t>V souvislosti s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podporou nízkoemisních vozidel (elektromobily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PHEVs) bude v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případě osobních vozidel aplikován limit 50 g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CO2/km. Tento limit vychází ze Směrnice EP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Rady 2019/1161, kterou se mění směrnice 2009/33/ES o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podpoře čistých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energeticky účinných silničních vozidel, která</w:t>
      </w:r>
      <w:r w:rsidR="29A5A6DA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stanoví povinný podíl nízko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bezemisních vozidel pořizovaných veřejnými zadavateli. </w:t>
      </w:r>
    </w:p>
    <w:p w14:paraId="0128B75A" w14:textId="77777777" w:rsidR="00916CC6" w:rsidRPr="0095286D" w:rsidRDefault="38304328" w:rsidP="75B88526">
      <w:pPr>
        <w:pStyle w:val="00Body"/>
        <w:spacing w:before="0" w:after="120" w:line="240" w:lineRule="auto"/>
        <w:jc w:val="both"/>
        <w:rPr>
          <w:rFonts w:asciiTheme="minorHAnsi" w:eastAsiaTheme="minorEastAsia" w:hAnsiTheme="minorHAnsi" w:cstheme="minorBidi"/>
          <w:sz w:val="20"/>
          <w:lang w:val="cs-CZ"/>
        </w:rPr>
      </w:pP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Komponenta čistá mobilita má za cíl postavit </w:t>
      </w:r>
      <w:r w:rsidR="3A762CD5" w:rsidRPr="75B88526">
        <w:rPr>
          <w:rFonts w:asciiTheme="minorHAnsi" w:eastAsiaTheme="minorEastAsia" w:hAnsiTheme="minorHAnsi" w:cstheme="minorBidi"/>
          <w:sz w:val="20"/>
          <w:lang w:val="cs-CZ"/>
        </w:rPr>
        <w:t>5</w:t>
      </w:r>
      <w:r w:rsidR="73C44DA9" w:rsidRPr="75B88526">
        <w:rPr>
          <w:rFonts w:asciiTheme="minorHAnsi" w:eastAsiaTheme="minorEastAsia" w:hAnsiTheme="minorHAnsi" w:cstheme="minorBidi"/>
          <w:sz w:val="20"/>
          <w:lang w:val="cs-CZ"/>
        </w:rPr>
        <w:t>2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dobíjecích bodů</w:t>
      </w:r>
      <w:r w:rsidR="73C44DA9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a 10 km dynamického dobíjení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pro veřejnou dopravu, 1 940 neveřejných dobíjecích bodů</w:t>
      </w:r>
      <w:r w:rsidR="1BACE4C4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pro podnikatele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, </w:t>
      </w:r>
      <w:r w:rsidR="3A762CD5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dále 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vybudovat </w:t>
      </w:r>
      <w:r w:rsidR="16B58572" w:rsidRPr="75B88526">
        <w:rPr>
          <w:rFonts w:asciiTheme="minorHAnsi" w:eastAsiaTheme="minorEastAsia" w:hAnsiTheme="minorHAnsi" w:cstheme="minorBidi"/>
          <w:sz w:val="20"/>
          <w:lang w:val="cs-CZ"/>
        </w:rPr>
        <w:t>2</w:t>
      </w:r>
      <w:r w:rsidR="2F20F703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="16B58572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880 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dobíjecí</w:t>
      </w:r>
      <w:r w:rsidR="16B58572" w:rsidRPr="75B88526">
        <w:rPr>
          <w:rFonts w:asciiTheme="minorHAnsi" w:eastAsiaTheme="minorEastAsia" w:hAnsiTheme="minorHAnsi" w:cstheme="minorBidi"/>
          <w:sz w:val="20"/>
          <w:lang w:val="cs-CZ"/>
        </w:rPr>
        <w:t>ch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>bodů pro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obytné budovy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a </w:t>
      </w:r>
      <w:r w:rsidR="21F7C088" w:rsidRPr="75B88526">
        <w:rPr>
          <w:rFonts w:asciiTheme="minorHAnsi" w:eastAsiaTheme="minorEastAsia" w:hAnsiTheme="minorHAnsi" w:cstheme="minorBidi"/>
          <w:sz w:val="20"/>
          <w:lang w:val="cs-CZ"/>
        </w:rPr>
        <w:t>200</w:t>
      </w:r>
      <w:r w:rsidR="16B58572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dobíjecích bodů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="16B58572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pro 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obce, kraje, státní správu a jimi zřízené instituce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>. V komponentě na rozvoj čisté mobility se</w:t>
      </w:r>
      <w:r w:rsidR="16B58572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také 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podpoř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í 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nákup</w:t>
      </w:r>
      <w:r w:rsidR="00DFFB04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>3</w:t>
      </w:r>
      <w:r w:rsidR="2F20F703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>625</w:t>
      </w:r>
      <w:r w:rsidR="00DFFB04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elektromobilů, 30 vodíkových osobních vozidel a 1 000 cargo e-kol pro podnikatele,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>1</w:t>
      </w:r>
      <w:r w:rsidR="2F20F703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495 vozidel na alternativní paliva </w:t>
      </w:r>
      <w:r w:rsidR="00DFFB04" w:rsidRPr="75B88526">
        <w:rPr>
          <w:rFonts w:asciiTheme="minorHAnsi" w:eastAsiaTheme="minorEastAsia" w:hAnsiTheme="minorHAnsi" w:cstheme="minorBidi"/>
          <w:sz w:val="20"/>
          <w:lang w:val="cs-CZ"/>
        </w:rPr>
        <w:t>pro obce, kraje a státní správu a 20 bateriových trolejbusů a 20 nízkopodlažních tramvají v Praze</w:t>
      </w:r>
      <w:r w:rsidR="413ECA83" w:rsidRPr="75B88526">
        <w:rPr>
          <w:rFonts w:asciiTheme="minorHAnsi" w:eastAsiaTheme="minorEastAsia" w:hAnsiTheme="minorHAnsi" w:cstheme="minorBidi"/>
          <w:sz w:val="20"/>
          <w:lang w:val="cs-CZ"/>
        </w:rPr>
        <w:t>.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</w:t>
      </w:r>
    </w:p>
    <w:p w14:paraId="079BF601" w14:textId="77777777" w:rsidR="00916CC6" w:rsidRDefault="38304328" w:rsidP="75B88526">
      <w:pPr>
        <w:pStyle w:val="00Body"/>
        <w:spacing w:before="0" w:after="120" w:line="240" w:lineRule="auto"/>
        <w:jc w:val="both"/>
        <w:rPr>
          <w:rFonts w:asciiTheme="minorHAnsi" w:eastAsiaTheme="minorEastAsia" w:hAnsiTheme="minorHAnsi" w:cstheme="minorBidi"/>
          <w:sz w:val="20"/>
          <w:lang w:val="cs-CZ"/>
        </w:rPr>
      </w:pPr>
      <w:r w:rsidRPr="75B88526">
        <w:rPr>
          <w:rFonts w:asciiTheme="minorHAnsi" w:eastAsiaTheme="minorEastAsia" w:hAnsiTheme="minorHAnsi" w:cstheme="minorBidi"/>
          <w:sz w:val="20"/>
          <w:lang w:val="cs-CZ"/>
        </w:rPr>
        <w:t>Celková podpora do roku 202</w:t>
      </w:r>
      <w:r w:rsidR="1BACE4C4" w:rsidRPr="75B88526">
        <w:rPr>
          <w:rFonts w:asciiTheme="minorHAnsi" w:eastAsiaTheme="minorEastAsia" w:hAnsiTheme="minorHAnsi" w:cstheme="minorBidi"/>
          <w:sz w:val="20"/>
          <w:lang w:val="cs-CZ"/>
        </w:rPr>
        <w:t>6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 xml:space="preserve"> pro navrhované reformy a investice obsahuje podporu budování infrastruktury pro alternativní paliva a nákupu vozidel na alternativní paliva v rozsahu:</w:t>
      </w:r>
    </w:p>
    <w:p w14:paraId="492BBE28" w14:textId="77777777" w:rsidR="004E60C4" w:rsidRPr="00583416" w:rsidRDefault="249FC754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  <w:u w:val="single"/>
        </w:rPr>
      </w:pPr>
      <w:r w:rsidRPr="75B88526">
        <w:rPr>
          <w:rFonts w:eastAsiaTheme="minorEastAsia"/>
          <w:b/>
          <w:bCs/>
          <w:sz w:val="20"/>
          <w:szCs w:val="20"/>
          <w:u w:val="single"/>
        </w:rPr>
        <w:t xml:space="preserve">Budování infrastruktury </w:t>
      </w:r>
      <w:r w:rsidR="73F7F426" w:rsidRPr="75B88526">
        <w:rPr>
          <w:rFonts w:eastAsiaTheme="minorEastAsia"/>
          <w:b/>
          <w:bCs/>
          <w:sz w:val="20"/>
          <w:szCs w:val="20"/>
          <w:u w:val="single"/>
        </w:rPr>
        <w:t xml:space="preserve">a nákup vozidel </w:t>
      </w:r>
      <w:r w:rsidRPr="75B88526">
        <w:rPr>
          <w:rFonts w:eastAsiaTheme="minorEastAsia"/>
          <w:b/>
          <w:bCs/>
          <w:sz w:val="20"/>
          <w:szCs w:val="20"/>
          <w:u w:val="single"/>
        </w:rPr>
        <w:t>pro alternativní paliva</w:t>
      </w:r>
      <w:r w:rsidR="73F7F426" w:rsidRPr="75B88526">
        <w:rPr>
          <w:rFonts w:eastAsiaTheme="minorEastAsia"/>
          <w:b/>
          <w:bCs/>
          <w:sz w:val="20"/>
          <w:szCs w:val="20"/>
          <w:u w:val="single"/>
        </w:rPr>
        <w:t xml:space="preserve"> </w:t>
      </w:r>
    </w:p>
    <w:p w14:paraId="0D6CB4E3" w14:textId="77777777" w:rsidR="00590DEF" w:rsidRPr="004E60C4" w:rsidRDefault="4D7CB970" w:rsidP="75B88526">
      <w:pPr>
        <w:pStyle w:val="Odstavecseseznamem"/>
        <w:numPr>
          <w:ilvl w:val="0"/>
          <w:numId w:val="27"/>
        </w:num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2 880 dobíjecích bodů (obytné domy) za 144 mil. Kč,</w:t>
      </w:r>
    </w:p>
    <w:p w14:paraId="538913B2" w14:textId="77777777" w:rsidR="00590DEF" w:rsidRPr="00583416" w:rsidRDefault="470D28E8" w:rsidP="75B88526">
      <w:pPr>
        <w:pStyle w:val="Odstavecseseznamem"/>
        <w:numPr>
          <w:ilvl w:val="0"/>
          <w:numId w:val="27"/>
        </w:num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5</w:t>
      </w:r>
      <w:r w:rsidR="0CAFD7AD" w:rsidRPr="75B88526">
        <w:rPr>
          <w:rFonts w:eastAsiaTheme="minorEastAsia"/>
          <w:color w:val="auto"/>
          <w:sz w:val="20"/>
          <w:szCs w:val="20"/>
        </w:rPr>
        <w:t>2</w:t>
      </w:r>
      <w:r w:rsidR="38304328" w:rsidRPr="75B88526">
        <w:rPr>
          <w:rFonts w:eastAsiaTheme="minorEastAsia"/>
          <w:color w:val="auto"/>
          <w:sz w:val="20"/>
          <w:szCs w:val="20"/>
        </w:rPr>
        <w:t xml:space="preserve"> </w:t>
      </w:r>
      <w:r w:rsidR="2C667719" w:rsidRPr="75B88526">
        <w:rPr>
          <w:rFonts w:eastAsiaTheme="minorEastAsia"/>
          <w:color w:val="auto"/>
          <w:sz w:val="20"/>
          <w:szCs w:val="20"/>
        </w:rPr>
        <w:t>na</w:t>
      </w:r>
      <w:r w:rsidR="38304328" w:rsidRPr="75B88526">
        <w:rPr>
          <w:rFonts w:eastAsiaTheme="minorEastAsia"/>
          <w:color w:val="auto"/>
          <w:sz w:val="20"/>
          <w:szCs w:val="20"/>
        </w:rPr>
        <w:t xml:space="preserve">bíjecích bodů </w:t>
      </w:r>
      <w:r w:rsidR="0CAFD7AD" w:rsidRPr="75B88526">
        <w:rPr>
          <w:rFonts w:eastAsiaTheme="minorEastAsia"/>
          <w:color w:val="auto"/>
          <w:sz w:val="20"/>
          <w:szCs w:val="20"/>
        </w:rPr>
        <w:t xml:space="preserve">a 10 km dynamického dobíjení </w:t>
      </w:r>
      <w:r w:rsidR="38304328" w:rsidRPr="75B88526">
        <w:rPr>
          <w:rFonts w:eastAsiaTheme="minorEastAsia"/>
          <w:color w:val="auto"/>
          <w:sz w:val="20"/>
          <w:szCs w:val="20"/>
        </w:rPr>
        <w:t>(DPHMP) za 1 200 mil. Kč,1 940 dobíjecích bodů (podnikatelé) za 300 mil. Kč</w:t>
      </w:r>
      <w:r w:rsidR="73F7F426" w:rsidRPr="75B88526">
        <w:rPr>
          <w:rFonts w:eastAsiaTheme="minorEastAsia"/>
          <w:color w:val="auto"/>
          <w:sz w:val="20"/>
          <w:szCs w:val="20"/>
        </w:rPr>
        <w:t>.</w:t>
      </w:r>
    </w:p>
    <w:p w14:paraId="27923433" w14:textId="77777777" w:rsidR="00916CC6" w:rsidRPr="004E60C4" w:rsidRDefault="413ECA83" w:rsidP="75B88526">
      <w:pPr>
        <w:pStyle w:val="Odstavecseseznamem"/>
        <w:numPr>
          <w:ilvl w:val="0"/>
          <w:numId w:val="26"/>
        </w:num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4 655 vozidel na alternativní paliva </w:t>
      </w:r>
      <w:r w:rsidR="38304328" w:rsidRPr="75B88526">
        <w:rPr>
          <w:rFonts w:eastAsiaTheme="minorEastAsia"/>
          <w:color w:val="auto"/>
          <w:sz w:val="20"/>
          <w:szCs w:val="20"/>
        </w:rPr>
        <w:t xml:space="preserve">pro podnikatele za </w:t>
      </w:r>
      <w:r w:rsidRPr="75B88526">
        <w:rPr>
          <w:rFonts w:eastAsiaTheme="minorEastAsia"/>
          <w:color w:val="auto"/>
          <w:sz w:val="20"/>
          <w:szCs w:val="20"/>
        </w:rPr>
        <w:t>9</w:t>
      </w:r>
      <w:r w:rsidR="3A762CD5" w:rsidRPr="75B88526">
        <w:rPr>
          <w:rFonts w:eastAsiaTheme="minorEastAsia"/>
          <w:color w:val="auto"/>
          <w:sz w:val="20"/>
          <w:szCs w:val="20"/>
        </w:rPr>
        <w:t>90</w:t>
      </w:r>
      <w:r w:rsidR="38304328" w:rsidRPr="75B88526">
        <w:rPr>
          <w:rFonts w:eastAsiaTheme="minorEastAsia"/>
          <w:color w:val="auto"/>
          <w:sz w:val="20"/>
          <w:szCs w:val="20"/>
        </w:rPr>
        <w:t xml:space="preserve"> mil. Kč, </w:t>
      </w:r>
    </w:p>
    <w:p w14:paraId="0AB1E8BA" w14:textId="77777777" w:rsidR="00916CC6" w:rsidRPr="004E60C4" w:rsidRDefault="413ECA83" w:rsidP="75B88526">
      <w:pPr>
        <w:pStyle w:val="Odstavecseseznamem"/>
        <w:numPr>
          <w:ilvl w:val="0"/>
          <w:numId w:val="26"/>
        </w:num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1 485 vozidel na alternativní paliva</w:t>
      </w:r>
      <w:r w:rsidR="73F7F426" w:rsidRPr="75B88526">
        <w:rPr>
          <w:rFonts w:eastAsiaTheme="minorEastAsia"/>
          <w:color w:val="auto"/>
          <w:sz w:val="20"/>
          <w:szCs w:val="20"/>
        </w:rPr>
        <w:t xml:space="preserve"> a</w:t>
      </w:r>
      <w:r w:rsidRPr="75B88526">
        <w:rPr>
          <w:rFonts w:eastAsiaTheme="minorEastAsia"/>
          <w:color w:val="auto"/>
          <w:sz w:val="20"/>
          <w:szCs w:val="20"/>
        </w:rPr>
        <w:t xml:space="preserve"> </w:t>
      </w:r>
      <w:r w:rsidR="73F7F426" w:rsidRPr="75B88526">
        <w:rPr>
          <w:rFonts w:eastAsiaTheme="minorEastAsia"/>
          <w:color w:val="auto"/>
          <w:sz w:val="20"/>
          <w:szCs w:val="20"/>
        </w:rPr>
        <w:t xml:space="preserve">200 neveřejných dobíjecích bodů </w:t>
      </w:r>
      <w:r w:rsidR="38304328" w:rsidRPr="75B88526">
        <w:rPr>
          <w:rFonts w:eastAsiaTheme="minorEastAsia"/>
          <w:color w:val="auto"/>
          <w:sz w:val="20"/>
          <w:szCs w:val="20"/>
        </w:rPr>
        <w:t>pro obce, kraje a státní správu za 600 mil. Kč,</w:t>
      </w:r>
    </w:p>
    <w:p w14:paraId="4E4A9A74" w14:textId="77777777" w:rsidR="00914682" w:rsidRDefault="3A762CD5" w:rsidP="75B88526">
      <w:pPr>
        <w:pStyle w:val="Odstavecseseznamem"/>
        <w:numPr>
          <w:ilvl w:val="0"/>
          <w:numId w:val="26"/>
        </w:num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20 bateriových trolejbusů a 20 nízkopodlažních tramvají</w:t>
      </w:r>
      <w:r w:rsidR="38304328" w:rsidRPr="75B88526">
        <w:rPr>
          <w:rFonts w:eastAsiaTheme="minorEastAsia"/>
          <w:color w:val="auto"/>
          <w:sz w:val="20"/>
          <w:szCs w:val="20"/>
        </w:rPr>
        <w:t xml:space="preserve"> v Praze za 1 700 mil. Kč</w:t>
      </w:r>
      <w:r w:rsidR="2A6CD32C" w:rsidRPr="75B88526">
        <w:rPr>
          <w:rFonts w:eastAsiaTheme="minorEastAsia"/>
          <w:color w:val="auto"/>
          <w:sz w:val="20"/>
          <w:szCs w:val="20"/>
        </w:rPr>
        <w:t>.</w:t>
      </w:r>
    </w:p>
    <w:p w14:paraId="6A05A809" w14:textId="77777777" w:rsidR="00590DEF" w:rsidRPr="00583416" w:rsidRDefault="00590DEF" w:rsidP="75B88526">
      <w:pPr>
        <w:pStyle w:val="Odstavecseseznamem"/>
        <w:spacing w:after="120" w:line="240" w:lineRule="auto"/>
        <w:rPr>
          <w:rFonts w:eastAsiaTheme="minorEastAsia"/>
          <w:color w:val="auto"/>
          <w:sz w:val="20"/>
          <w:szCs w:val="20"/>
        </w:rPr>
      </w:pPr>
    </w:p>
    <w:p w14:paraId="15A32E62" w14:textId="77777777" w:rsidR="00916CC6" w:rsidRPr="0095286D" w:rsidRDefault="5A08F6DA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V</w:t>
      </w:r>
      <w:r w:rsidR="38304328" w:rsidRPr="75B88526">
        <w:rPr>
          <w:rFonts w:eastAsiaTheme="minorEastAsia"/>
          <w:color w:val="auto"/>
          <w:sz w:val="20"/>
          <w:szCs w:val="20"/>
        </w:rPr>
        <w:t xml:space="preserve"> roce 2021 bude potřeba předfinancovat investice této komponenty skrze kapitoly ministerstev</w:t>
      </w:r>
      <w:r w:rsidRPr="75B88526">
        <w:rPr>
          <w:rFonts w:eastAsiaTheme="minorEastAsia"/>
          <w:color w:val="auto"/>
          <w:sz w:val="20"/>
          <w:szCs w:val="20"/>
        </w:rPr>
        <w:t> </w:t>
      </w:r>
      <w:r w:rsidR="38304328" w:rsidRPr="75B88526">
        <w:rPr>
          <w:rFonts w:eastAsiaTheme="minorEastAsia"/>
          <w:color w:val="auto"/>
          <w:sz w:val="20"/>
          <w:szCs w:val="20"/>
        </w:rPr>
        <w:t>a Magistrátu Hl. města Prahy, v jejichž gesci je uvedená část, tzn. MPO,  MŽP či MMR a Magistrát Hl. města Prahy (viz výše).</w:t>
      </w:r>
    </w:p>
    <w:p w14:paraId="5A39BBE3" w14:textId="77777777" w:rsidR="00916CC6" w:rsidRPr="00D10829" w:rsidRDefault="00916CC6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</w:rPr>
      </w:pPr>
    </w:p>
    <w:p w14:paraId="43E31CE9" w14:textId="77777777" w:rsidR="007A2737" w:rsidRPr="00D10829" w:rsidRDefault="781D7659" w:rsidP="75B88526">
      <w:pPr>
        <w:pStyle w:val="K-Nadpis3"/>
        <w:keepNext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c) </w:t>
      </w:r>
      <w:r w:rsidR="4D36C82C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Národní strategický kontext</w:t>
      </w:r>
    </w:p>
    <w:p w14:paraId="068E3EB6" w14:textId="77777777" w:rsidR="00DB2850" w:rsidRPr="00D10829" w:rsidRDefault="455F8349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Aktuální situace</w:t>
      </w:r>
    </w:p>
    <w:p w14:paraId="04F0076A" w14:textId="77777777" w:rsidR="002259F5" w:rsidRPr="00D10829" w:rsidRDefault="4C8AAF38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V současnosti je v ČR (k 31.12.2020) dle statistiky Ministerstva průmyslu a obchodu 734 stanic, 1 516 dobíjecích bodů a 7 109 bateriových elektrických vozidel kategorie M1.</w:t>
      </w:r>
    </w:p>
    <w:p w14:paraId="309C69A4" w14:textId="77777777" w:rsidR="00DB2850" w:rsidRPr="00D10829" w:rsidRDefault="455F8349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  <w:u w:val="single"/>
        </w:rPr>
      </w:pPr>
      <w:r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 xml:space="preserve">Scénář vývoje elektromobility </w:t>
      </w:r>
    </w:p>
    <w:p w14:paraId="3D612C06" w14:textId="77777777" w:rsidR="00DB2850" w:rsidRPr="00D10829" w:rsidRDefault="455F8349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Rozvoj infrastruktury dobíjecích stanic</w:t>
      </w:r>
    </w:p>
    <w:p w14:paraId="3F58BC4A" w14:textId="77777777" w:rsidR="002259F5" w:rsidRPr="00D10829" w:rsidRDefault="4C8AAF38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Dle NAP CM je cílem pro rok 2030 - 220 000 – 500 000 elektromobilů a 19 000-35 000 dobíjecích bodů.</w:t>
      </w:r>
    </w:p>
    <w:p w14:paraId="41C8F396" w14:textId="77777777" w:rsidR="00DB2850" w:rsidRPr="00D10829" w:rsidRDefault="00DB2850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</w:p>
    <w:tbl>
      <w:tblPr>
        <w:tblStyle w:val="Mkatabulky2"/>
        <w:tblW w:w="0" w:type="auto"/>
        <w:tblInd w:w="-5" w:type="dxa"/>
        <w:tblLook w:val="04A0" w:firstRow="1" w:lastRow="0" w:firstColumn="1" w:lastColumn="0" w:noHBand="0" w:noVBand="1"/>
      </w:tblPr>
      <w:tblGrid>
        <w:gridCol w:w="2179"/>
        <w:gridCol w:w="2623"/>
        <w:gridCol w:w="2415"/>
        <w:gridCol w:w="2416"/>
      </w:tblGrid>
      <w:tr w:rsidR="00914682" w:rsidRPr="00D10829" w14:paraId="09B1F87F" w14:textId="77777777" w:rsidTr="75B88526">
        <w:tc>
          <w:tcPr>
            <w:tcW w:w="2179" w:type="dxa"/>
          </w:tcPr>
          <w:p w14:paraId="72A3D3EC" w14:textId="77777777" w:rsidR="007B2103" w:rsidRPr="00D10829" w:rsidRDefault="007B2103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623" w:type="dxa"/>
          </w:tcPr>
          <w:p w14:paraId="6F06E886" w14:textId="77777777" w:rsidR="007B2103" w:rsidRPr="00D10829" w:rsidRDefault="481CD7B3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Scénář pro rok 2030 dle Aktualizace NAP CM</w:t>
            </w:r>
          </w:p>
        </w:tc>
        <w:tc>
          <w:tcPr>
            <w:tcW w:w="2415" w:type="dxa"/>
          </w:tcPr>
          <w:p w14:paraId="063E2310" w14:textId="77777777" w:rsidR="007B2103" w:rsidRPr="00D10829" w:rsidRDefault="481CD7B3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Veřejně přístupná dobíjecí infrastruktura dobíjecích bodů v roce 2025</w:t>
            </w:r>
          </w:p>
        </w:tc>
        <w:tc>
          <w:tcPr>
            <w:tcW w:w="2416" w:type="dxa"/>
          </w:tcPr>
          <w:p w14:paraId="7752A4B8" w14:textId="77777777" w:rsidR="007B2103" w:rsidRPr="00D10829" w:rsidRDefault="481CD7B3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Veřejně přístupná dobíjecí infrastruktura dobíjecích bodů dobíjecích bodů v roce 2030</w:t>
            </w:r>
          </w:p>
        </w:tc>
      </w:tr>
      <w:tr w:rsidR="00914682" w:rsidRPr="00D10829" w14:paraId="3137F8EA" w14:textId="77777777" w:rsidTr="75B88526">
        <w:tc>
          <w:tcPr>
            <w:tcW w:w="2179" w:type="dxa"/>
          </w:tcPr>
          <w:p w14:paraId="747E8980" w14:textId="77777777" w:rsidR="007B2103" w:rsidRPr="00D10829" w:rsidRDefault="62ACA6D6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Nižší hranice intervalu</w:t>
            </w:r>
          </w:p>
        </w:tc>
        <w:tc>
          <w:tcPr>
            <w:tcW w:w="2623" w:type="dxa"/>
          </w:tcPr>
          <w:p w14:paraId="453FE556" w14:textId="77777777" w:rsidR="007B2103" w:rsidRPr="00D10829" w:rsidRDefault="481CD7B3" w:rsidP="75B88526">
            <w:pPr>
              <w:spacing w:after="120" w:line="240" w:lineRule="auto"/>
              <w:rPr>
                <w:rFonts w:eastAsiaTheme="minorEastAsia"/>
                <w:b/>
                <w:bCs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b/>
                <w:bCs/>
                <w:color w:val="auto"/>
                <w:sz w:val="20"/>
                <w:szCs w:val="20"/>
              </w:rPr>
              <w:t>220 000 vozidel</w:t>
            </w:r>
          </w:p>
        </w:tc>
        <w:tc>
          <w:tcPr>
            <w:tcW w:w="2415" w:type="dxa"/>
          </w:tcPr>
          <w:p w14:paraId="6B8ACF5A" w14:textId="77777777" w:rsidR="007B2103" w:rsidRPr="00D10829" w:rsidRDefault="481CD7B3" w:rsidP="75B88526">
            <w:pPr>
              <w:spacing w:after="120" w:line="240" w:lineRule="auto"/>
              <w:jc w:val="center"/>
              <w:rPr>
                <w:rFonts w:eastAsiaTheme="minorEastAsia"/>
                <w:b/>
                <w:bCs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b/>
                <w:bCs/>
                <w:color w:val="auto"/>
                <w:sz w:val="20"/>
                <w:szCs w:val="20"/>
              </w:rPr>
              <w:t>6 200</w:t>
            </w:r>
          </w:p>
        </w:tc>
        <w:tc>
          <w:tcPr>
            <w:tcW w:w="2416" w:type="dxa"/>
          </w:tcPr>
          <w:p w14:paraId="63F375C3" w14:textId="77777777" w:rsidR="007B2103" w:rsidRPr="00D10829" w:rsidRDefault="481CD7B3" w:rsidP="75B88526">
            <w:pPr>
              <w:spacing w:after="120" w:line="240" w:lineRule="auto"/>
              <w:jc w:val="center"/>
              <w:rPr>
                <w:rFonts w:eastAsiaTheme="minorEastAsia"/>
                <w:b/>
                <w:bCs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b/>
                <w:bCs/>
                <w:color w:val="auto"/>
                <w:sz w:val="20"/>
                <w:szCs w:val="20"/>
              </w:rPr>
              <w:t>19 000</w:t>
            </w:r>
          </w:p>
        </w:tc>
      </w:tr>
      <w:tr w:rsidR="00914682" w:rsidRPr="00D10829" w14:paraId="36012F38" w14:textId="77777777" w:rsidTr="75B88526">
        <w:trPr>
          <w:trHeight w:val="675"/>
        </w:trPr>
        <w:tc>
          <w:tcPr>
            <w:tcW w:w="2179" w:type="dxa"/>
          </w:tcPr>
          <w:p w14:paraId="547CEE6E" w14:textId="77777777" w:rsidR="007B2103" w:rsidRPr="00D10829" w:rsidRDefault="62ACA6D6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Vyšší hranice intervalu</w:t>
            </w:r>
          </w:p>
        </w:tc>
        <w:tc>
          <w:tcPr>
            <w:tcW w:w="2623" w:type="dxa"/>
          </w:tcPr>
          <w:p w14:paraId="7B5663DE" w14:textId="77777777" w:rsidR="007B2103" w:rsidRPr="00D10829" w:rsidRDefault="481CD7B3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500 000 vozidel</w:t>
            </w:r>
          </w:p>
        </w:tc>
        <w:tc>
          <w:tcPr>
            <w:tcW w:w="2415" w:type="dxa"/>
          </w:tcPr>
          <w:p w14:paraId="5B5D7BEA" w14:textId="77777777" w:rsidR="007B2103" w:rsidRPr="00D10829" w:rsidRDefault="481CD7B3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11 000</w:t>
            </w:r>
          </w:p>
        </w:tc>
        <w:tc>
          <w:tcPr>
            <w:tcW w:w="2416" w:type="dxa"/>
          </w:tcPr>
          <w:p w14:paraId="17986E08" w14:textId="77777777" w:rsidR="007B2103" w:rsidRPr="00D10829" w:rsidRDefault="481CD7B3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35 000</w:t>
            </w:r>
          </w:p>
        </w:tc>
      </w:tr>
    </w:tbl>
    <w:p w14:paraId="0D0B940D" w14:textId="77777777" w:rsidR="00581A18" w:rsidRPr="00D10829" w:rsidRDefault="00581A18" w:rsidP="75B88526">
      <w:pPr>
        <w:spacing w:after="120" w:line="240" w:lineRule="auto"/>
        <w:jc w:val="both"/>
        <w:rPr>
          <w:rFonts w:eastAsiaTheme="minorEastAsia"/>
          <w:color w:val="auto"/>
          <w:sz w:val="23"/>
          <w:szCs w:val="23"/>
        </w:rPr>
      </w:pPr>
    </w:p>
    <w:p w14:paraId="71E01FE3" w14:textId="77777777" w:rsidR="00DB2850" w:rsidRPr="00D10829" w:rsidRDefault="00DB3507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Style w:val="Znakapoznpodarou"/>
          <w:rFonts w:eastAsiaTheme="minorEastAsia"/>
          <w:color w:val="auto"/>
          <w:sz w:val="23"/>
          <w:szCs w:val="23"/>
        </w:rPr>
        <w:lastRenderedPageBreak/>
        <w:footnoteReference w:id="3"/>
      </w:r>
      <w:r w:rsidR="62ACA6D6" w:rsidRPr="75B88526">
        <w:rPr>
          <w:rFonts w:eastAsiaTheme="minorEastAsia"/>
          <w:color w:val="auto"/>
          <w:sz w:val="23"/>
          <w:szCs w:val="23"/>
        </w:rPr>
        <w:t xml:space="preserve"> </w:t>
      </w:r>
      <w:r w:rsidR="7D29313F" w:rsidRPr="75B88526">
        <w:rPr>
          <w:rFonts w:eastAsiaTheme="minorEastAsia"/>
          <w:color w:val="auto"/>
          <w:sz w:val="20"/>
          <w:szCs w:val="20"/>
        </w:rPr>
        <w:t xml:space="preserve">Zdroj: str. 15 </w:t>
      </w:r>
      <w:bookmarkStart w:id="11" w:name="_Hlk63331489"/>
      <w:r w:rsidR="7D29313F" w:rsidRPr="75B88526">
        <w:rPr>
          <w:rFonts w:eastAsiaTheme="minorEastAsia"/>
          <w:color w:val="auto"/>
          <w:sz w:val="20"/>
          <w:szCs w:val="20"/>
        </w:rPr>
        <w:t>Aktualizace Národního akčního plánu čisté mobility (NAP CM) 2019 https://www.mpo.cz/cz/prumysl/zpracovatelsky-prumysl/automobilovy-prumysl/aktualizace-narodniho-akcniho-planu-ciste-mobility--254445/</w:t>
      </w:r>
      <w:bookmarkEnd w:id="11"/>
    </w:p>
    <w:p w14:paraId="07A8AAC0" w14:textId="77777777" w:rsidR="00DB2850" w:rsidRPr="00D10829" w:rsidRDefault="455F8349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Nižší hranice intervalu </w:t>
      </w:r>
      <w:r w:rsidRPr="75B88526">
        <w:rPr>
          <w:rFonts w:eastAsiaTheme="minorEastAsia"/>
          <w:b/>
          <w:bCs/>
          <w:color w:val="auto"/>
          <w:sz w:val="20"/>
          <w:szCs w:val="20"/>
        </w:rPr>
        <w:t>220 000</w:t>
      </w:r>
      <w:r w:rsidRPr="75B88526">
        <w:rPr>
          <w:rFonts w:eastAsiaTheme="minorEastAsia"/>
          <w:color w:val="auto"/>
          <w:sz w:val="20"/>
          <w:szCs w:val="20"/>
        </w:rPr>
        <w:t xml:space="preserve"> elektromobilů vychází v zásadě </w:t>
      </w:r>
      <w:r w:rsidR="5A08F6DA" w:rsidRPr="75B88526">
        <w:rPr>
          <w:rFonts w:eastAsiaTheme="minorEastAsia"/>
          <w:color w:val="auto"/>
          <w:sz w:val="20"/>
          <w:szCs w:val="20"/>
        </w:rPr>
        <w:t>z predikce</w:t>
      </w:r>
      <w:r w:rsidRPr="75B88526">
        <w:rPr>
          <w:rFonts w:eastAsiaTheme="minorEastAsia"/>
          <w:color w:val="auto"/>
          <w:sz w:val="20"/>
          <w:szCs w:val="20"/>
        </w:rPr>
        <w:t xml:space="preserve"> </w:t>
      </w:r>
      <w:r w:rsidR="481CD7B3" w:rsidRPr="75B88526">
        <w:rPr>
          <w:rFonts w:eastAsiaTheme="minorEastAsia"/>
          <w:color w:val="auto"/>
          <w:sz w:val="20"/>
          <w:szCs w:val="20"/>
        </w:rPr>
        <w:t>Svazu dovozců automobilů(</w:t>
      </w:r>
      <w:r w:rsidRPr="75B88526">
        <w:rPr>
          <w:rFonts w:eastAsiaTheme="minorEastAsia"/>
          <w:color w:val="auto"/>
          <w:sz w:val="20"/>
          <w:szCs w:val="20"/>
        </w:rPr>
        <w:t>SDA</w:t>
      </w:r>
      <w:r w:rsidR="481CD7B3" w:rsidRPr="75B88526">
        <w:rPr>
          <w:rFonts w:eastAsiaTheme="minorEastAsia"/>
          <w:color w:val="auto"/>
          <w:sz w:val="20"/>
          <w:szCs w:val="20"/>
        </w:rPr>
        <w:t>)</w:t>
      </w:r>
      <w:r w:rsidRPr="75B88526">
        <w:rPr>
          <w:rFonts w:eastAsiaTheme="minorEastAsia"/>
          <w:color w:val="auto"/>
          <w:sz w:val="20"/>
          <w:szCs w:val="20"/>
        </w:rPr>
        <w:t xml:space="preserve">Jako horní hranice intervalu byla definována hodnota </w:t>
      </w:r>
      <w:r w:rsidRPr="75B88526">
        <w:rPr>
          <w:rFonts w:eastAsiaTheme="minorEastAsia"/>
          <w:b/>
          <w:bCs/>
          <w:color w:val="auto"/>
          <w:sz w:val="20"/>
          <w:szCs w:val="20"/>
        </w:rPr>
        <w:t>500 000 elektromobilů</w:t>
      </w:r>
      <w:r w:rsidRPr="75B88526">
        <w:rPr>
          <w:rFonts w:eastAsiaTheme="minorEastAsia"/>
          <w:color w:val="auto"/>
          <w:sz w:val="20"/>
          <w:szCs w:val="20"/>
        </w:rPr>
        <w:t xml:space="preserve"> (BEV) v ulicích k roku 2030. </w:t>
      </w:r>
      <w:r w:rsidR="62ACA6D6" w:rsidRPr="75B88526">
        <w:rPr>
          <w:rFonts w:eastAsiaTheme="minorEastAsia"/>
          <w:color w:val="auto"/>
          <w:sz w:val="20"/>
          <w:szCs w:val="20"/>
        </w:rPr>
        <w:t>|Vyšší hranice intervalu p</w:t>
      </w:r>
      <w:r w:rsidRPr="75B88526">
        <w:rPr>
          <w:rFonts w:eastAsiaTheme="minorEastAsia"/>
          <w:color w:val="auto"/>
          <w:sz w:val="20"/>
          <w:szCs w:val="20"/>
        </w:rPr>
        <w:t xml:space="preserve">ředstavuje zhruba 7 % vozového parku a představuje ambici spojenou s posílením postavení ČR v oblasti inovací v sektoru automobilové dopravy a zajištění odpovídajícího postavení na tomto trhu v rámci EU i globálně. Hodnota horní hranice intervalu je v souladu s plněním emisního cíle pro automobilky za zachování struktury prodejů a dovozů a vývozů vozidel (tj. plnění emisního cíle na území ČR). </w:t>
      </w:r>
    </w:p>
    <w:p w14:paraId="075FD410" w14:textId="77777777" w:rsidR="00581A18" w:rsidRPr="00D10829" w:rsidRDefault="136A161B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Aktuální prodeje vozidel a stav vozového parku ukazují, že trh se oproti predikci z NAP CM opožďuje, nicméně v dlouhodobém horizontu lze předpokládat projevení efektu přísnějších emisních limitů pro výrobce vozidel, který by měl trajektorii růstu počtu vozidel výrazně ovlivnit.</w:t>
      </w:r>
    </w:p>
    <w:p w14:paraId="35D3C0E2" w14:textId="77777777" w:rsidR="00A86B04" w:rsidRPr="00D10829" w:rsidRDefault="6C4EFFB2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V případě osobních a užitkových vozů jistě platí, že hlavním hybatelem růstu podílu elektromobilů je regulatorní rámec v podobě cílů emisí CO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2</w:t>
      </w:r>
      <w:r w:rsidRPr="75B88526">
        <w:rPr>
          <w:rFonts w:eastAsiaTheme="minorEastAsia"/>
          <w:color w:val="auto"/>
          <w:sz w:val="20"/>
          <w:szCs w:val="20"/>
        </w:rPr>
        <w:t xml:space="preserve"> pro automobilky. Automobilky však plní své emisní cíle jako celek, nikoliv na národní úrovni, a podíl prodaných elektromobilů nemusí kopírovat prodeje vozidel. I proto je důležité, aby v ČR vzniklo prostředí a podmínky, které budou automobilky motivovat, aby prodeje realizovaly v ČR a ne v jiných zemích.</w:t>
      </w:r>
    </w:p>
    <w:p w14:paraId="0E27B00A" w14:textId="77777777" w:rsidR="00A86B04" w:rsidRPr="00D10829" w:rsidRDefault="00A86B04" w:rsidP="75B88526">
      <w:pPr>
        <w:spacing w:after="120" w:line="240" w:lineRule="auto"/>
        <w:jc w:val="both"/>
        <w:rPr>
          <w:rFonts w:eastAsiaTheme="minorEastAsia"/>
          <w:b/>
          <w:bCs/>
          <w:color w:val="auto"/>
          <w:sz w:val="20"/>
          <w:szCs w:val="20"/>
          <w:u w:val="single"/>
        </w:rPr>
      </w:pPr>
    </w:p>
    <w:p w14:paraId="50CBFC47" w14:textId="77777777" w:rsidR="00DB2850" w:rsidRPr="00D10829" w:rsidRDefault="455F8349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  <w:u w:val="single"/>
        </w:rPr>
      </w:pPr>
      <w:bookmarkStart w:id="12" w:name="_Hlk66463762"/>
      <w:r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>Scénář vývoje</w:t>
      </w:r>
      <w:r w:rsidR="00581A18" w:rsidRPr="75B88526">
        <w:rPr>
          <w:rStyle w:val="Znakapoznpodarou"/>
          <w:rFonts w:eastAsiaTheme="minorEastAsia"/>
          <w:b/>
          <w:bCs/>
          <w:color w:val="auto"/>
          <w:sz w:val="20"/>
          <w:szCs w:val="20"/>
          <w:u w:val="single"/>
        </w:rPr>
        <w:footnoteReference w:id="4"/>
      </w:r>
      <w:r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 xml:space="preserve"> vozového parku za vodík k roku 2030</w:t>
      </w:r>
    </w:p>
    <w:bookmarkEnd w:id="12"/>
    <w:p w14:paraId="53FEFDD5" w14:textId="77777777" w:rsidR="00452714" w:rsidRPr="00D10829" w:rsidRDefault="339BA3EE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Za strategický cíl v této oblasti bylo označeno nastartování rozvoje vodíkové technologie v dopravě. NAP CM cílí na </w:t>
      </w: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dosažení rozmezí 40–50 tisíc osobních vodíkových vozidel do roku 2030. </w:t>
      </w:r>
      <w:r w:rsidRPr="75B88526">
        <w:rPr>
          <w:rFonts w:eastAsiaTheme="minorEastAsia"/>
          <w:color w:val="auto"/>
          <w:sz w:val="20"/>
          <w:szCs w:val="20"/>
        </w:rPr>
        <w:t>To představuje přibližně jednu čtvrtinu cíle v oblasti bateriové elektromobility.</w:t>
      </w:r>
    </w:p>
    <w:p w14:paraId="7D1560A2" w14:textId="77777777" w:rsidR="00452714" w:rsidRPr="00D10829" w:rsidRDefault="339BA3EE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Naplnění tohoto cíle si však vyžádá přijetí některých podpůrných opatření, a to zejména v podobě přímé finanční podpory, která by měla být nastavena v podobném režimu, jako v případě podpory bateriových elektrických vozidel. Klíčové je také, aby vodíková osobní vozidla byla v budoucnosti nakupována orgány veřejné správy, což by mělo být zajištěno zejména na základě plnění požadavků novely směrnice 2009/33 o podpoře čistých vozidel. </w:t>
      </w:r>
    </w:p>
    <w:p w14:paraId="51275A47" w14:textId="77777777" w:rsidR="00914682" w:rsidRPr="00D10829" w:rsidRDefault="339BA3EE" w:rsidP="75B88526">
      <w:pPr>
        <w:spacing w:after="120" w:line="240" w:lineRule="auto"/>
        <w:rPr>
          <w:rFonts w:eastAsiaTheme="minorEastAsia"/>
          <w:color w:val="auto"/>
          <w:sz w:val="20"/>
          <w:szCs w:val="20"/>
          <w:u w:val="single"/>
        </w:rPr>
      </w:pPr>
      <w:r w:rsidRPr="75B88526">
        <w:rPr>
          <w:rFonts w:eastAsiaTheme="minorEastAsia"/>
          <w:color w:val="auto"/>
          <w:sz w:val="20"/>
          <w:szCs w:val="20"/>
          <w:u w:val="single"/>
        </w:rPr>
        <w:t>Scénář vývoje vozového parku za vodík k roku 2030</w:t>
      </w:r>
    </w:p>
    <w:p w14:paraId="173B6DBA" w14:textId="77777777" w:rsidR="00DB2850" w:rsidRPr="00D10829" w:rsidRDefault="455F8349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osobní vozila </w:t>
      </w:r>
      <w:r w:rsidR="00DB2850">
        <w:tab/>
      </w:r>
      <w:r w:rsidR="00DB2850">
        <w:tab/>
      </w:r>
      <w:r w:rsidRPr="75B88526">
        <w:rPr>
          <w:rFonts w:eastAsiaTheme="minorEastAsia"/>
          <w:color w:val="auto"/>
          <w:sz w:val="20"/>
          <w:szCs w:val="20"/>
        </w:rPr>
        <w:t>40 000 - 50 000 ks</w:t>
      </w:r>
    </w:p>
    <w:p w14:paraId="4A3D9D46" w14:textId="77777777" w:rsidR="00DB2850" w:rsidRPr="00D10829" w:rsidRDefault="455F8349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autobusy</w:t>
      </w:r>
      <w:r w:rsidR="00DB2850">
        <w:tab/>
      </w:r>
      <w:r w:rsidR="00DB2850">
        <w:tab/>
      </w:r>
      <w:r w:rsidRPr="75B88526">
        <w:rPr>
          <w:rFonts w:eastAsiaTheme="minorEastAsia"/>
          <w:color w:val="auto"/>
          <w:sz w:val="20"/>
          <w:szCs w:val="20"/>
        </w:rPr>
        <w:t>870 ks</w:t>
      </w:r>
    </w:p>
    <w:p w14:paraId="3E5CE0B7" w14:textId="77777777" w:rsidR="00DB2850" w:rsidRPr="00D10829" w:rsidRDefault="455F8349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Plnicí stanice </w:t>
      </w:r>
      <w:r w:rsidR="00DB2850">
        <w:tab/>
      </w:r>
      <w:r w:rsidR="00DB2850">
        <w:tab/>
      </w:r>
      <w:r w:rsidRPr="75B88526">
        <w:rPr>
          <w:rFonts w:eastAsiaTheme="minorEastAsia"/>
          <w:color w:val="auto"/>
          <w:sz w:val="20"/>
          <w:szCs w:val="20"/>
        </w:rPr>
        <w:t>80 ks</w:t>
      </w:r>
    </w:p>
    <w:p w14:paraId="60061E4C" w14:textId="77777777" w:rsidR="000F520D" w:rsidRPr="00D10829" w:rsidRDefault="000F520D" w:rsidP="75B88526">
      <w:pPr>
        <w:spacing w:after="120" w:line="240" w:lineRule="auto"/>
        <w:rPr>
          <w:rFonts w:eastAsiaTheme="minorEastAsia"/>
          <w:b/>
          <w:bCs/>
          <w:color w:val="auto"/>
          <w:sz w:val="23"/>
          <w:szCs w:val="23"/>
          <w:u w:val="single"/>
        </w:rPr>
      </w:pPr>
    </w:p>
    <w:p w14:paraId="33C9474D" w14:textId="77777777" w:rsidR="00436A3E" w:rsidRPr="00D10829" w:rsidRDefault="48E6EA9B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  <w:u w:val="single"/>
        </w:rPr>
      </w:pPr>
      <w:r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>Podpor</w:t>
      </w:r>
      <w:r w:rsidR="4FEE13E6"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>a</w:t>
      </w:r>
      <w:r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 xml:space="preserve"> čisté mobility </w:t>
      </w:r>
      <w:r w:rsidR="4AB8D8F5"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>2020–2027</w:t>
      </w:r>
    </w:p>
    <w:p w14:paraId="5C7DDDE3" w14:textId="77777777" w:rsidR="00436A3E" w:rsidRPr="00D10829" w:rsidRDefault="6E364E2E" w:rsidP="75B88526">
      <w:pPr>
        <w:numPr>
          <w:ilvl w:val="0"/>
          <w:numId w:val="13"/>
        </w:numPr>
        <w:spacing w:after="120" w:line="240" w:lineRule="auto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OP Technologie a</w:t>
      </w:r>
      <w:r w:rsidR="2B7D270A" w:rsidRPr="75B88526">
        <w:rPr>
          <w:rFonts w:eastAsiaTheme="minorEastAsia"/>
          <w:b/>
          <w:bCs/>
          <w:color w:val="auto"/>
          <w:sz w:val="20"/>
          <w:szCs w:val="20"/>
        </w:rPr>
        <w:t> </w:t>
      </w: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aplikace pro konkurenceschopnost – </w:t>
      </w:r>
      <w:r w:rsidRPr="75B88526">
        <w:rPr>
          <w:rFonts w:eastAsiaTheme="minorEastAsia"/>
          <w:color w:val="auto"/>
          <w:sz w:val="20"/>
          <w:szCs w:val="20"/>
        </w:rPr>
        <w:t>podpora</w:t>
      </w:r>
      <w:r w:rsidR="48E6EA9B" w:rsidRPr="75B88526">
        <w:rPr>
          <w:rFonts w:eastAsiaTheme="minorEastAsia"/>
          <w:color w:val="auto"/>
          <w:sz w:val="20"/>
          <w:szCs w:val="20"/>
        </w:rPr>
        <w:t xml:space="preserve"> nákupu elektromobilů, LNG kamionů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="48E6EA9B" w:rsidRPr="75B88526">
        <w:rPr>
          <w:rFonts w:eastAsiaTheme="minorEastAsia"/>
          <w:color w:val="auto"/>
          <w:sz w:val="20"/>
          <w:szCs w:val="20"/>
        </w:rPr>
        <w:t xml:space="preserve">dobíjecích stanic pro podnikatele 0,5 -1,0 mld. Kč </w:t>
      </w:r>
      <w:r w:rsidR="48E6EA9B" w:rsidRPr="75B88526">
        <w:rPr>
          <w:rFonts w:eastAsiaTheme="minorEastAsia"/>
          <w:b/>
          <w:bCs/>
          <w:color w:val="auto"/>
          <w:sz w:val="20"/>
          <w:szCs w:val="20"/>
        </w:rPr>
        <w:t xml:space="preserve"> </w:t>
      </w:r>
    </w:p>
    <w:p w14:paraId="4C44FBAF" w14:textId="77777777" w:rsidR="00436A3E" w:rsidRPr="00D10829" w:rsidRDefault="6E364E2E" w:rsidP="75B88526">
      <w:pPr>
        <w:numPr>
          <w:ilvl w:val="0"/>
          <w:numId w:val="13"/>
        </w:numPr>
        <w:spacing w:after="120" w:line="240" w:lineRule="auto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Integrovaný regionální operační program</w:t>
      </w:r>
      <w:r w:rsidRPr="75B88526">
        <w:rPr>
          <w:rFonts w:eastAsiaTheme="minorEastAsia"/>
          <w:color w:val="auto"/>
          <w:sz w:val="20"/>
          <w:szCs w:val="20"/>
        </w:rPr>
        <w:t xml:space="preserve"> – podpora</w:t>
      </w:r>
      <w:r w:rsidR="48E6EA9B" w:rsidRPr="75B88526">
        <w:rPr>
          <w:rFonts w:eastAsiaTheme="minorEastAsia"/>
          <w:color w:val="auto"/>
          <w:sz w:val="20"/>
          <w:szCs w:val="20"/>
        </w:rPr>
        <w:t xml:space="preserve"> vozidel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="48E6EA9B" w:rsidRPr="75B88526">
        <w:rPr>
          <w:rFonts w:eastAsiaTheme="minorEastAsia"/>
          <w:color w:val="auto"/>
          <w:sz w:val="20"/>
          <w:szCs w:val="20"/>
        </w:rPr>
        <w:t>infrastruktury na alternativní paliva (veřejná doprava) 5-10 mld. Kč (přesná alokace není známa)</w:t>
      </w:r>
    </w:p>
    <w:p w14:paraId="7BAC6FA8" w14:textId="77777777" w:rsidR="00436A3E" w:rsidRPr="00D10829" w:rsidRDefault="48E6EA9B" w:rsidP="75B88526">
      <w:pPr>
        <w:numPr>
          <w:ilvl w:val="0"/>
          <w:numId w:val="13"/>
        </w:numPr>
        <w:spacing w:after="120" w:line="240" w:lineRule="auto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OP</w:t>
      </w:r>
      <w:r w:rsidR="6E364E2E" w:rsidRPr="75B88526">
        <w:rPr>
          <w:rFonts w:eastAsiaTheme="minorEastAsia"/>
          <w:b/>
          <w:bCs/>
          <w:color w:val="auto"/>
          <w:sz w:val="20"/>
          <w:szCs w:val="20"/>
        </w:rPr>
        <w:t xml:space="preserve"> </w:t>
      </w:r>
      <w:r w:rsidR="4AB8D8F5" w:rsidRPr="75B88526">
        <w:rPr>
          <w:rFonts w:eastAsiaTheme="minorEastAsia"/>
          <w:b/>
          <w:bCs/>
          <w:color w:val="auto"/>
          <w:sz w:val="20"/>
          <w:szCs w:val="20"/>
        </w:rPr>
        <w:t xml:space="preserve">Doprava – </w:t>
      </w:r>
      <w:r w:rsidR="4AB8D8F5" w:rsidRPr="75B88526">
        <w:rPr>
          <w:rFonts w:eastAsiaTheme="minorEastAsia"/>
          <w:color w:val="auto"/>
          <w:sz w:val="20"/>
          <w:szCs w:val="20"/>
        </w:rPr>
        <w:t>podpora</w:t>
      </w:r>
      <w:r w:rsidRPr="75B88526">
        <w:rPr>
          <w:rFonts w:eastAsiaTheme="minorEastAsia"/>
          <w:color w:val="auto"/>
          <w:sz w:val="20"/>
          <w:szCs w:val="20"/>
        </w:rPr>
        <w:t xml:space="preserve"> výstavby veřejné dobíjecí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plnicí infrastruktury </w:t>
      </w:r>
      <w:r w:rsidR="4AAC08DD" w:rsidRPr="75B88526">
        <w:rPr>
          <w:rFonts w:eastAsiaTheme="minorEastAsia"/>
          <w:color w:val="auto"/>
          <w:sz w:val="20"/>
          <w:szCs w:val="20"/>
        </w:rPr>
        <w:t xml:space="preserve">3,5 - </w:t>
      </w:r>
      <w:r w:rsidRPr="75B88526">
        <w:rPr>
          <w:rFonts w:eastAsiaTheme="minorEastAsia"/>
          <w:color w:val="auto"/>
          <w:sz w:val="20"/>
          <w:szCs w:val="20"/>
        </w:rPr>
        <w:t xml:space="preserve">4 mld. Kč (z toho cca 3,3 mld. Kč na </w:t>
      </w:r>
      <w:r w:rsidR="4AB8D8F5" w:rsidRPr="75B88526">
        <w:rPr>
          <w:rFonts w:eastAsiaTheme="minorEastAsia"/>
          <w:color w:val="auto"/>
          <w:sz w:val="20"/>
          <w:szCs w:val="20"/>
        </w:rPr>
        <w:t xml:space="preserve">cca </w:t>
      </w:r>
      <w:r w:rsidR="4AAC08DD" w:rsidRPr="75B88526">
        <w:rPr>
          <w:rFonts w:eastAsiaTheme="minorEastAsia"/>
          <w:color w:val="auto"/>
          <w:sz w:val="20"/>
          <w:szCs w:val="20"/>
        </w:rPr>
        <w:t>10 000</w:t>
      </w:r>
      <w:r w:rsidRPr="75B88526">
        <w:rPr>
          <w:rFonts w:eastAsiaTheme="minorEastAsia"/>
          <w:color w:val="auto"/>
          <w:sz w:val="20"/>
          <w:szCs w:val="20"/>
        </w:rPr>
        <w:t xml:space="preserve"> tis. dobíjecích stanic</w:t>
      </w:r>
      <w:r w:rsidR="6F9E1EA3" w:rsidRPr="75B88526">
        <w:rPr>
          <w:rFonts w:eastAsiaTheme="minorEastAsia"/>
          <w:b/>
          <w:bCs/>
          <w:color w:val="auto"/>
          <w:sz w:val="20"/>
          <w:szCs w:val="20"/>
        </w:rPr>
        <w:t xml:space="preserve"> </w:t>
      </w:r>
      <w:r w:rsidR="6F9E1EA3" w:rsidRPr="75B88526">
        <w:rPr>
          <w:rFonts w:eastAsiaTheme="minorEastAsia"/>
          <w:color w:val="auto"/>
          <w:sz w:val="20"/>
          <w:szCs w:val="20"/>
        </w:rPr>
        <w:t>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="6F9E1EA3" w:rsidRPr="75B88526">
        <w:rPr>
          <w:rFonts w:eastAsiaTheme="minorEastAsia"/>
          <w:color w:val="auto"/>
          <w:sz w:val="20"/>
          <w:szCs w:val="20"/>
        </w:rPr>
        <w:t>500 mil. plnicí stanice vodík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="6F9E1EA3" w:rsidRPr="75B88526">
        <w:rPr>
          <w:rFonts w:eastAsiaTheme="minorEastAsia"/>
          <w:color w:val="auto"/>
          <w:sz w:val="20"/>
          <w:szCs w:val="20"/>
        </w:rPr>
        <w:t>200 mil. plnicí stanice LNG</w:t>
      </w:r>
      <w:r w:rsidR="5F3F3E2A" w:rsidRPr="75B88526">
        <w:rPr>
          <w:rFonts w:eastAsiaTheme="minorEastAsia"/>
          <w:color w:val="auto"/>
          <w:sz w:val="20"/>
          <w:szCs w:val="20"/>
        </w:rPr>
        <w:t>)</w:t>
      </w:r>
    </w:p>
    <w:p w14:paraId="50809ED6" w14:textId="77777777" w:rsidR="00A6645C" w:rsidRPr="00D10829" w:rsidRDefault="6F9E1EA3" w:rsidP="75B88526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eastAsiaTheme="minorEastAsia"/>
          <w:b/>
          <w:bCs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Nová zelená úsporám </w:t>
      </w:r>
    </w:p>
    <w:p w14:paraId="4CAE23F7" w14:textId="77777777" w:rsidR="00436A3E" w:rsidRPr="00D10829" w:rsidRDefault="48E6EA9B" w:rsidP="75B88526">
      <w:pPr>
        <w:numPr>
          <w:ilvl w:val="0"/>
          <w:numId w:val="13"/>
        </w:numPr>
        <w:spacing w:after="120" w:line="240" w:lineRule="auto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Modernizační fond</w:t>
      </w:r>
      <w:r w:rsidRPr="75B88526">
        <w:rPr>
          <w:rFonts w:eastAsiaTheme="minorEastAsia"/>
          <w:color w:val="auto"/>
          <w:sz w:val="20"/>
          <w:szCs w:val="20"/>
        </w:rPr>
        <w:t xml:space="preserve"> </w:t>
      </w:r>
      <w:r w:rsidR="00436A3E">
        <w:tab/>
      </w:r>
      <w:r w:rsidRPr="75B88526">
        <w:rPr>
          <w:rFonts w:eastAsiaTheme="minorEastAsia"/>
          <w:color w:val="auto"/>
          <w:sz w:val="20"/>
          <w:szCs w:val="20"/>
        </w:rPr>
        <w:t>Modernizace dopravy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podnikatelském sektoru</w:t>
      </w:r>
      <w:r w:rsidR="00436A3E">
        <w:tab/>
      </w:r>
      <w:r w:rsidRPr="75B88526">
        <w:rPr>
          <w:rFonts w:eastAsiaTheme="minorEastAsia"/>
          <w:color w:val="auto"/>
          <w:sz w:val="20"/>
          <w:szCs w:val="20"/>
        </w:rPr>
        <w:t>5,4 mld. Kč</w:t>
      </w:r>
    </w:p>
    <w:p w14:paraId="77A68F7D" w14:textId="77777777" w:rsidR="00436A3E" w:rsidRPr="00D10829" w:rsidRDefault="48E6EA9B" w:rsidP="75B88526">
      <w:pPr>
        <w:spacing w:after="120" w:line="240" w:lineRule="auto"/>
        <w:ind w:left="2136" w:firstLine="696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Modernizace veřejné dopravy</w:t>
      </w:r>
      <w:r w:rsidR="00436A3E">
        <w:tab/>
      </w:r>
      <w:r w:rsidR="00436A3E">
        <w:tab/>
      </w:r>
      <w:r w:rsidR="00436A3E">
        <w:tab/>
      </w:r>
      <w:r w:rsidR="00436A3E">
        <w:tab/>
      </w:r>
      <w:r w:rsidRPr="75B88526">
        <w:rPr>
          <w:rFonts w:eastAsiaTheme="minorEastAsia"/>
          <w:color w:val="auto"/>
          <w:sz w:val="20"/>
          <w:szCs w:val="20"/>
        </w:rPr>
        <w:t>7,7 mld. Kč</w:t>
      </w:r>
    </w:p>
    <w:p w14:paraId="5249B8D1" w14:textId="77777777" w:rsidR="007B24DF" w:rsidRPr="00D10829" w:rsidRDefault="48E6EA9B" w:rsidP="75B88526">
      <w:pPr>
        <w:numPr>
          <w:ilvl w:val="0"/>
          <w:numId w:val="13"/>
        </w:numPr>
        <w:spacing w:after="120" w:line="240" w:lineRule="auto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Fond </w:t>
      </w:r>
      <w:r w:rsidR="3BE6D5A8" w:rsidRPr="75B88526">
        <w:rPr>
          <w:rFonts w:eastAsiaTheme="minorEastAsia"/>
          <w:b/>
          <w:bCs/>
          <w:color w:val="auto"/>
          <w:sz w:val="20"/>
          <w:szCs w:val="20"/>
        </w:rPr>
        <w:t>obnovy</w:t>
      </w:r>
      <w:r w:rsidR="3BE6D5A8" w:rsidRPr="75B88526">
        <w:rPr>
          <w:rFonts w:eastAsiaTheme="minorEastAsia"/>
          <w:color w:val="auto"/>
          <w:sz w:val="20"/>
          <w:szCs w:val="20"/>
        </w:rPr>
        <w:t xml:space="preserve"> – podpora</w:t>
      </w:r>
      <w:r w:rsidRPr="75B88526">
        <w:rPr>
          <w:rFonts w:eastAsiaTheme="minorEastAsia"/>
          <w:color w:val="auto"/>
          <w:sz w:val="20"/>
          <w:szCs w:val="20"/>
        </w:rPr>
        <w:t xml:space="preserve"> </w:t>
      </w:r>
      <w:r w:rsidR="4BBF75C1" w:rsidRPr="75B88526">
        <w:rPr>
          <w:rFonts w:eastAsiaTheme="minorEastAsia"/>
          <w:color w:val="auto"/>
          <w:sz w:val="20"/>
          <w:szCs w:val="20"/>
        </w:rPr>
        <w:t xml:space="preserve">výstavby infrastruktury a pořizování </w:t>
      </w:r>
      <w:r w:rsidRPr="75B88526">
        <w:rPr>
          <w:rFonts w:eastAsiaTheme="minorEastAsia"/>
          <w:color w:val="auto"/>
          <w:sz w:val="20"/>
          <w:szCs w:val="20"/>
        </w:rPr>
        <w:t xml:space="preserve">vozidel na alternativní paliva </w:t>
      </w:r>
      <w:r w:rsidR="572478D4" w:rsidRPr="75B88526">
        <w:rPr>
          <w:rFonts w:eastAsiaTheme="minorEastAsia"/>
          <w:color w:val="auto"/>
          <w:sz w:val="20"/>
          <w:szCs w:val="20"/>
        </w:rPr>
        <w:t>4</w:t>
      </w:r>
      <w:r w:rsidRPr="75B88526">
        <w:rPr>
          <w:rFonts w:eastAsiaTheme="minorEastAsia"/>
          <w:color w:val="auto"/>
          <w:sz w:val="20"/>
          <w:szCs w:val="20"/>
        </w:rPr>
        <w:t>,</w:t>
      </w:r>
      <w:r w:rsidR="6369B873" w:rsidRPr="75B88526">
        <w:rPr>
          <w:rFonts w:eastAsiaTheme="minorEastAsia"/>
          <w:color w:val="auto"/>
          <w:sz w:val="20"/>
          <w:szCs w:val="20"/>
        </w:rPr>
        <w:t>934</w:t>
      </w:r>
      <w:r w:rsidR="4EBFEEDC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mld.</w:t>
      </w:r>
      <w:r w:rsidR="4EBFEEDC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Kč (dle současného návrhu</w:t>
      </w:r>
      <w:r w:rsidR="5F3F3E2A" w:rsidRPr="75B88526">
        <w:rPr>
          <w:rFonts w:eastAsiaTheme="minorEastAsia"/>
          <w:color w:val="auto"/>
          <w:sz w:val="20"/>
          <w:szCs w:val="20"/>
        </w:rPr>
        <w:t>)</w:t>
      </w:r>
      <w:r w:rsidR="5802085C" w:rsidRPr="75B88526">
        <w:rPr>
          <w:rFonts w:eastAsiaTheme="minorEastAsia"/>
          <w:b/>
          <w:bCs/>
          <w:color w:val="auto"/>
          <w:sz w:val="20"/>
          <w:szCs w:val="20"/>
        </w:rPr>
        <w:t>.</w:t>
      </w:r>
    </w:p>
    <w:p w14:paraId="70DBF7ED" w14:textId="77777777" w:rsidR="00436A3E" w:rsidRPr="0095286D" w:rsidRDefault="007B24DF" w:rsidP="75B88526">
      <w:pPr>
        <w:spacing w:after="120" w:line="240" w:lineRule="auto"/>
        <w:ind w:left="360"/>
        <w:contextualSpacing/>
        <w:jc w:val="both"/>
        <w:rPr>
          <w:rFonts w:eastAsiaTheme="minorEastAsia"/>
          <w:color w:val="auto"/>
          <w:sz w:val="20"/>
          <w:szCs w:val="20"/>
          <w:u w:val="single"/>
        </w:rPr>
      </w:pPr>
      <w:r w:rsidRPr="0095286D">
        <w:rPr>
          <w:rFonts w:ascii="Times New Roman" w:hAnsi="Times New Roman" w:cs="Times New Roman"/>
          <w:b/>
          <w:color w:val="auto"/>
          <w:sz w:val="23"/>
          <w:szCs w:val="23"/>
        </w:rPr>
        <w:tab/>
      </w:r>
      <w:r w:rsidR="5802085C" w:rsidRPr="75B88526">
        <w:rPr>
          <w:rFonts w:eastAsiaTheme="minorEastAsia"/>
          <w:color w:val="auto"/>
          <w:sz w:val="20"/>
          <w:szCs w:val="20"/>
          <w:u w:val="single"/>
        </w:rPr>
        <w:t xml:space="preserve">Infrastruktura </w:t>
      </w:r>
      <w:r w:rsidR="3E5C1216" w:rsidRPr="75B88526">
        <w:rPr>
          <w:rFonts w:eastAsiaTheme="minorEastAsia"/>
          <w:color w:val="auto"/>
          <w:sz w:val="20"/>
          <w:szCs w:val="20"/>
          <w:u w:val="single"/>
        </w:rPr>
        <w:t>pro</w:t>
      </w:r>
      <w:r w:rsidR="5802085C" w:rsidRPr="75B88526">
        <w:rPr>
          <w:rFonts w:eastAsiaTheme="minorEastAsia"/>
          <w:color w:val="auto"/>
          <w:sz w:val="20"/>
          <w:szCs w:val="20"/>
          <w:u w:val="single"/>
        </w:rPr>
        <w:t xml:space="preserve"> alternativní paliva</w:t>
      </w:r>
    </w:p>
    <w:p w14:paraId="510C577A" w14:textId="77777777" w:rsidR="00436A3E" w:rsidRPr="0095286D" w:rsidRDefault="48E6EA9B" w:rsidP="75B88526">
      <w:pPr>
        <w:spacing w:after="120" w:line="240" w:lineRule="auto"/>
        <w:ind w:left="2124" w:firstLine="696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     </w:t>
      </w:r>
      <w:r w:rsidR="00436A3E">
        <w:tab/>
      </w:r>
      <w:r w:rsidRPr="75B88526">
        <w:rPr>
          <w:rFonts w:eastAsiaTheme="minorEastAsia"/>
          <w:color w:val="auto"/>
          <w:sz w:val="20"/>
          <w:szCs w:val="20"/>
        </w:rPr>
        <w:t xml:space="preserve"> </w:t>
      </w:r>
    </w:p>
    <w:p w14:paraId="1F9F1D4B" w14:textId="77777777" w:rsidR="00417D3E" w:rsidRPr="00323B07" w:rsidRDefault="6369B873" w:rsidP="75B88526">
      <w:pPr>
        <w:pStyle w:val="Odstavecseseznamem"/>
        <w:numPr>
          <w:ilvl w:val="2"/>
          <w:numId w:val="13"/>
        </w:num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2</w:t>
      </w:r>
      <w:r w:rsidR="73F7F426" w:rsidRPr="75B88526">
        <w:rPr>
          <w:rFonts w:eastAsiaTheme="minorEastAsia"/>
          <w:color w:val="auto"/>
          <w:sz w:val="20"/>
          <w:szCs w:val="20"/>
        </w:rPr>
        <w:t xml:space="preserve"> </w:t>
      </w:r>
      <w:r w:rsidRPr="75B88526">
        <w:rPr>
          <w:rFonts w:eastAsiaTheme="minorEastAsia"/>
          <w:color w:val="auto"/>
          <w:sz w:val="20"/>
          <w:szCs w:val="20"/>
        </w:rPr>
        <w:t>880 dobíjecích bodů obytné domy za 144 mil. Kč,</w:t>
      </w:r>
    </w:p>
    <w:p w14:paraId="0596F7C4" w14:textId="77777777" w:rsidR="00436A3E" w:rsidRPr="00323B07" w:rsidRDefault="470D28E8" w:rsidP="75B88526">
      <w:pPr>
        <w:pStyle w:val="Odstavecseseznamem"/>
        <w:numPr>
          <w:ilvl w:val="2"/>
          <w:numId w:val="13"/>
        </w:num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lastRenderedPageBreak/>
        <w:t>5</w:t>
      </w:r>
      <w:r w:rsidR="0CAFD7AD" w:rsidRPr="75B88526">
        <w:rPr>
          <w:rFonts w:eastAsiaTheme="minorEastAsia"/>
          <w:color w:val="auto"/>
          <w:sz w:val="20"/>
          <w:szCs w:val="20"/>
        </w:rPr>
        <w:t>2</w:t>
      </w:r>
      <w:r w:rsidR="48E6EA9B" w:rsidRPr="75B88526">
        <w:rPr>
          <w:rFonts w:eastAsiaTheme="minorEastAsia"/>
          <w:color w:val="auto"/>
          <w:sz w:val="20"/>
          <w:szCs w:val="20"/>
        </w:rPr>
        <w:t xml:space="preserve"> dobíjecích bodů</w:t>
      </w:r>
      <w:r w:rsidR="0CAFD7AD" w:rsidRPr="75B88526">
        <w:rPr>
          <w:rFonts w:eastAsiaTheme="minorEastAsia"/>
          <w:color w:val="auto"/>
          <w:sz w:val="20"/>
          <w:szCs w:val="20"/>
        </w:rPr>
        <w:t xml:space="preserve"> a 10 km dynamického dobíjení</w:t>
      </w:r>
      <w:r w:rsidR="48E6EA9B" w:rsidRPr="75B88526">
        <w:rPr>
          <w:rFonts w:eastAsiaTheme="minorEastAsia"/>
          <w:color w:val="auto"/>
          <w:sz w:val="20"/>
          <w:szCs w:val="20"/>
        </w:rPr>
        <w:t xml:space="preserve"> </w:t>
      </w:r>
      <w:r w:rsidR="6369B873" w:rsidRPr="75B88526">
        <w:rPr>
          <w:rFonts w:eastAsiaTheme="minorEastAsia"/>
          <w:color w:val="auto"/>
          <w:sz w:val="20"/>
          <w:szCs w:val="20"/>
        </w:rPr>
        <w:t xml:space="preserve">DPHMP za </w:t>
      </w:r>
      <w:r w:rsidR="48E6EA9B" w:rsidRPr="75B88526">
        <w:rPr>
          <w:rFonts w:eastAsiaTheme="minorEastAsia"/>
          <w:color w:val="auto"/>
          <w:sz w:val="20"/>
          <w:szCs w:val="20"/>
        </w:rPr>
        <w:t>1</w:t>
      </w:r>
      <w:r w:rsidR="5A08F6DA" w:rsidRPr="75B88526">
        <w:rPr>
          <w:rFonts w:eastAsiaTheme="minorEastAsia"/>
          <w:color w:val="auto"/>
          <w:sz w:val="20"/>
          <w:szCs w:val="20"/>
        </w:rPr>
        <w:t> </w:t>
      </w:r>
      <w:r w:rsidR="48E6EA9B" w:rsidRPr="75B88526">
        <w:rPr>
          <w:rFonts w:eastAsiaTheme="minorEastAsia"/>
          <w:color w:val="auto"/>
          <w:sz w:val="20"/>
          <w:szCs w:val="20"/>
        </w:rPr>
        <w:t>200 mil. Kč,</w:t>
      </w:r>
    </w:p>
    <w:p w14:paraId="6FD89BDA" w14:textId="77777777" w:rsidR="00436A3E" w:rsidRPr="00323B07" w:rsidRDefault="48E6EA9B" w:rsidP="75B88526">
      <w:pPr>
        <w:pStyle w:val="Odstavecseseznamem"/>
        <w:numPr>
          <w:ilvl w:val="2"/>
          <w:numId w:val="13"/>
        </w:num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1 940 dobíjecích bodů</w:t>
      </w:r>
      <w:r w:rsidR="14C7A198" w:rsidRPr="75B88526">
        <w:rPr>
          <w:rFonts w:eastAsiaTheme="minorEastAsia"/>
          <w:color w:val="auto"/>
          <w:sz w:val="20"/>
          <w:szCs w:val="20"/>
        </w:rPr>
        <w:t xml:space="preserve"> pro</w:t>
      </w:r>
      <w:r w:rsidRPr="75B88526">
        <w:rPr>
          <w:rFonts w:eastAsiaTheme="minorEastAsia"/>
          <w:color w:val="auto"/>
          <w:sz w:val="20"/>
          <w:szCs w:val="20"/>
        </w:rPr>
        <w:t xml:space="preserve"> podnikatelé </w:t>
      </w:r>
      <w:r w:rsidR="6369B873" w:rsidRPr="75B88526">
        <w:rPr>
          <w:rFonts w:eastAsiaTheme="minorEastAsia"/>
          <w:color w:val="auto"/>
          <w:sz w:val="20"/>
          <w:szCs w:val="20"/>
        </w:rPr>
        <w:t xml:space="preserve">za </w:t>
      </w:r>
      <w:r w:rsidRPr="75B88526">
        <w:rPr>
          <w:rFonts w:eastAsiaTheme="minorEastAsia"/>
          <w:color w:val="auto"/>
          <w:sz w:val="20"/>
          <w:szCs w:val="20"/>
        </w:rPr>
        <w:t>300 mil. Kč</w:t>
      </w:r>
      <w:r w:rsidR="4452C687" w:rsidRPr="75B88526">
        <w:rPr>
          <w:rFonts w:eastAsiaTheme="minorEastAsia"/>
          <w:color w:val="auto"/>
          <w:sz w:val="20"/>
          <w:szCs w:val="20"/>
        </w:rPr>
        <w:t>.</w:t>
      </w:r>
    </w:p>
    <w:p w14:paraId="44EAFD9C" w14:textId="77777777" w:rsidR="00150644" w:rsidRPr="00D10829" w:rsidRDefault="00150644" w:rsidP="75B88526">
      <w:pPr>
        <w:spacing w:after="120" w:line="240" w:lineRule="auto"/>
        <w:ind w:left="720"/>
        <w:contextualSpacing/>
        <w:jc w:val="both"/>
        <w:rPr>
          <w:rFonts w:eastAsiaTheme="minorEastAsia"/>
          <w:color w:val="auto"/>
          <w:sz w:val="20"/>
          <w:szCs w:val="20"/>
        </w:rPr>
      </w:pPr>
    </w:p>
    <w:p w14:paraId="2E8C6068" w14:textId="77777777" w:rsidR="00EE684E" w:rsidRPr="00D10829" w:rsidRDefault="50E5C733" w:rsidP="75B88526">
      <w:pPr>
        <w:spacing w:after="120" w:line="240" w:lineRule="auto"/>
        <w:ind w:left="720"/>
        <w:contextualSpacing/>
        <w:jc w:val="both"/>
        <w:rPr>
          <w:rFonts w:eastAsiaTheme="minorEastAsia"/>
          <w:color w:val="auto"/>
          <w:sz w:val="20"/>
          <w:szCs w:val="20"/>
          <w:u w:val="single"/>
        </w:rPr>
      </w:pPr>
      <w:r w:rsidRPr="75B88526">
        <w:rPr>
          <w:rFonts w:eastAsiaTheme="minorEastAsia"/>
          <w:color w:val="auto"/>
          <w:sz w:val="20"/>
          <w:szCs w:val="20"/>
          <w:u w:val="single"/>
        </w:rPr>
        <w:t xml:space="preserve">Dopravní prostředky na alternativní paliva  </w:t>
      </w:r>
    </w:p>
    <w:p w14:paraId="7C7311BB" w14:textId="77777777" w:rsidR="00EE684E" w:rsidRPr="00323B07" w:rsidRDefault="73F7F426" w:rsidP="75B88526">
      <w:pPr>
        <w:pStyle w:val="Odstavecseseznamem"/>
        <w:numPr>
          <w:ilvl w:val="2"/>
          <w:numId w:val="13"/>
        </w:num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4 655</w:t>
      </w:r>
      <w:r w:rsidR="50E5C733" w:rsidRPr="75B88526">
        <w:rPr>
          <w:rFonts w:eastAsiaTheme="minorEastAsia"/>
          <w:color w:val="auto"/>
          <w:sz w:val="20"/>
          <w:szCs w:val="20"/>
        </w:rPr>
        <w:t xml:space="preserve"> vozidel na alternativní paliva pro podnikatele (včetně 1 000 cargo ekol</w:t>
      </w:r>
      <w:r w:rsidR="5A08F6DA" w:rsidRPr="75B88526">
        <w:rPr>
          <w:rFonts w:eastAsiaTheme="minorEastAsia"/>
          <w:color w:val="auto"/>
          <w:sz w:val="20"/>
          <w:szCs w:val="20"/>
        </w:rPr>
        <w:t xml:space="preserve"> </w:t>
      </w:r>
      <w:r w:rsidR="6369B873" w:rsidRPr="75B88526">
        <w:rPr>
          <w:rFonts w:eastAsiaTheme="minorEastAsia"/>
          <w:color w:val="auto"/>
          <w:sz w:val="20"/>
          <w:szCs w:val="20"/>
        </w:rPr>
        <w:t xml:space="preserve">za </w:t>
      </w:r>
      <w:r w:rsidRPr="75B88526">
        <w:rPr>
          <w:rFonts w:eastAsiaTheme="minorEastAsia"/>
          <w:color w:val="auto"/>
          <w:sz w:val="20"/>
          <w:szCs w:val="20"/>
        </w:rPr>
        <w:t>9</w:t>
      </w:r>
      <w:r w:rsidR="572478D4" w:rsidRPr="75B88526">
        <w:rPr>
          <w:rFonts w:eastAsiaTheme="minorEastAsia"/>
          <w:color w:val="auto"/>
          <w:sz w:val="20"/>
          <w:szCs w:val="20"/>
        </w:rPr>
        <w:t>90</w:t>
      </w:r>
      <w:r w:rsidR="6369B873" w:rsidRPr="75B88526">
        <w:rPr>
          <w:rFonts w:eastAsiaTheme="minorEastAsia"/>
          <w:color w:val="auto"/>
          <w:sz w:val="20"/>
          <w:szCs w:val="20"/>
        </w:rPr>
        <w:t xml:space="preserve"> mil. Kč.</w:t>
      </w:r>
    </w:p>
    <w:p w14:paraId="5D9DA6B4" w14:textId="77777777" w:rsidR="00EE684E" w:rsidRPr="00323B07" w:rsidRDefault="73F7F426" w:rsidP="75B88526">
      <w:pPr>
        <w:pStyle w:val="Odstavecseseznamem"/>
        <w:numPr>
          <w:ilvl w:val="2"/>
          <w:numId w:val="13"/>
        </w:num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1 485</w:t>
      </w:r>
      <w:r w:rsidR="50E5C733" w:rsidRPr="75B88526">
        <w:rPr>
          <w:rFonts w:eastAsiaTheme="minorEastAsia"/>
          <w:color w:val="auto"/>
          <w:sz w:val="20"/>
          <w:szCs w:val="20"/>
        </w:rPr>
        <w:t xml:space="preserve"> vozidel </w:t>
      </w:r>
      <w:r w:rsidRPr="75B88526">
        <w:rPr>
          <w:rFonts w:eastAsiaTheme="minorEastAsia"/>
          <w:color w:val="auto"/>
          <w:sz w:val="20"/>
          <w:szCs w:val="20"/>
        </w:rPr>
        <w:t xml:space="preserve">a 200 neveřejných dobíjecích bodů </w:t>
      </w:r>
      <w:r w:rsidR="50E5C733" w:rsidRPr="75B88526">
        <w:rPr>
          <w:rFonts w:eastAsiaTheme="minorEastAsia"/>
          <w:color w:val="auto"/>
          <w:sz w:val="20"/>
          <w:szCs w:val="20"/>
        </w:rPr>
        <w:t>pro obce, kraje a státní správu</w:t>
      </w:r>
      <w:r w:rsidR="6369B873" w:rsidRPr="75B88526">
        <w:rPr>
          <w:rFonts w:eastAsiaTheme="minorEastAsia"/>
          <w:color w:val="auto"/>
          <w:sz w:val="20"/>
          <w:szCs w:val="20"/>
        </w:rPr>
        <w:t xml:space="preserve"> za 600 mil. Kč.</w:t>
      </w:r>
      <w:r w:rsidR="50E5C733" w:rsidRPr="75B88526">
        <w:rPr>
          <w:rFonts w:eastAsiaTheme="minorEastAsia"/>
          <w:color w:val="auto"/>
          <w:sz w:val="20"/>
          <w:szCs w:val="20"/>
        </w:rPr>
        <w:t xml:space="preserve"> </w:t>
      </w:r>
    </w:p>
    <w:p w14:paraId="0EA4C2E4" w14:textId="77777777" w:rsidR="00EE684E" w:rsidRPr="00323B07" w:rsidRDefault="470D28E8" w:rsidP="75B88526">
      <w:pPr>
        <w:pStyle w:val="Odstavecseseznamem"/>
        <w:numPr>
          <w:ilvl w:val="2"/>
          <w:numId w:val="13"/>
        </w:num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40 vozidel (bateriové trolejbusy a nízkopodlažní tramvaje)</w:t>
      </w:r>
      <w:r w:rsidR="50E5C733" w:rsidRPr="75B88526">
        <w:rPr>
          <w:rFonts w:eastAsiaTheme="minorEastAsia"/>
          <w:color w:val="auto"/>
          <w:sz w:val="20"/>
          <w:szCs w:val="20"/>
        </w:rPr>
        <w:t xml:space="preserve">pro veřejnou dopravu v Praze </w:t>
      </w:r>
      <w:r w:rsidR="6369B873" w:rsidRPr="75B88526">
        <w:rPr>
          <w:rFonts w:eastAsiaTheme="minorEastAsia"/>
          <w:color w:val="auto"/>
          <w:sz w:val="20"/>
          <w:szCs w:val="20"/>
        </w:rPr>
        <w:t>za 1700 mil.</w:t>
      </w:r>
      <w:r w:rsidR="5A08F6DA" w:rsidRPr="75B88526">
        <w:rPr>
          <w:rFonts w:eastAsiaTheme="minorEastAsia"/>
          <w:color w:val="auto"/>
          <w:sz w:val="20"/>
          <w:szCs w:val="20"/>
        </w:rPr>
        <w:t xml:space="preserve"> </w:t>
      </w:r>
      <w:r w:rsidR="6369B873" w:rsidRPr="75B88526">
        <w:rPr>
          <w:rFonts w:eastAsiaTheme="minorEastAsia"/>
          <w:color w:val="auto"/>
          <w:sz w:val="20"/>
          <w:szCs w:val="20"/>
        </w:rPr>
        <w:t>Kč.</w:t>
      </w:r>
    </w:p>
    <w:p w14:paraId="4B94D5A5" w14:textId="77777777" w:rsidR="00DC4A4A" w:rsidRPr="00D10829" w:rsidRDefault="00DC4A4A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</w:rPr>
      </w:pPr>
    </w:p>
    <w:p w14:paraId="663AB762" w14:textId="77777777" w:rsidR="007A2737" w:rsidRPr="00D10829" w:rsidRDefault="781D7659" w:rsidP="75B88526">
      <w:pPr>
        <w:pStyle w:val="K-Nadpis3"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d) Předchozí snahy</w:t>
      </w:r>
    </w:p>
    <w:p w14:paraId="4884C20E" w14:textId="77777777" w:rsidR="002F1D49" w:rsidRPr="00D10829" w:rsidRDefault="2117C584" w:rsidP="75B88526">
      <w:pPr>
        <w:spacing w:after="120" w:line="240" w:lineRule="auto"/>
        <w:rPr>
          <w:rFonts w:eastAsiaTheme="minorEastAsia"/>
          <w:b/>
          <w:bCs/>
          <w:color w:val="auto"/>
          <w:sz w:val="20"/>
          <w:szCs w:val="20"/>
          <w:u w:val="single"/>
        </w:rPr>
      </w:pPr>
      <w:r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 xml:space="preserve">Podpory čisté mobility </w:t>
      </w:r>
      <w:r w:rsidR="4AB8D8F5" w:rsidRPr="75B88526">
        <w:rPr>
          <w:rFonts w:eastAsiaTheme="minorEastAsia"/>
          <w:b/>
          <w:bCs/>
          <w:color w:val="auto"/>
          <w:sz w:val="20"/>
          <w:szCs w:val="20"/>
          <w:u w:val="single"/>
        </w:rPr>
        <w:t>2014–2020</w:t>
      </w:r>
    </w:p>
    <w:p w14:paraId="3FF444BF" w14:textId="77777777" w:rsidR="002F1D49" w:rsidRPr="00D10829" w:rsidRDefault="2117C584" w:rsidP="75B88526">
      <w:pPr>
        <w:numPr>
          <w:ilvl w:val="0"/>
          <w:numId w:val="12"/>
        </w:numPr>
        <w:spacing w:after="120" w:line="240" w:lineRule="auto"/>
        <w:ind w:left="714" w:hanging="357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OP</w:t>
      </w:r>
      <w:r w:rsidR="4AB8D8F5" w:rsidRPr="75B88526">
        <w:rPr>
          <w:rFonts w:eastAsiaTheme="minorEastAsia"/>
          <w:b/>
          <w:bCs/>
          <w:color w:val="auto"/>
          <w:sz w:val="20"/>
          <w:szCs w:val="20"/>
        </w:rPr>
        <w:t xml:space="preserve"> Podnikání a</w:t>
      </w:r>
      <w:r w:rsidR="2B7D270A" w:rsidRPr="75B88526">
        <w:rPr>
          <w:rFonts w:eastAsiaTheme="minorEastAsia"/>
          <w:b/>
          <w:bCs/>
          <w:color w:val="auto"/>
          <w:sz w:val="20"/>
          <w:szCs w:val="20"/>
        </w:rPr>
        <w:t> </w:t>
      </w:r>
      <w:r w:rsidR="4AB8D8F5" w:rsidRPr="75B88526">
        <w:rPr>
          <w:rFonts w:eastAsiaTheme="minorEastAsia"/>
          <w:b/>
          <w:bCs/>
          <w:color w:val="auto"/>
          <w:sz w:val="20"/>
          <w:szCs w:val="20"/>
        </w:rPr>
        <w:t>inovace pro konkurenceschopnost</w:t>
      </w:r>
      <w:r w:rsidR="4AB8D8F5" w:rsidRPr="75B88526">
        <w:rPr>
          <w:rFonts w:eastAsiaTheme="minorEastAsia"/>
          <w:color w:val="auto"/>
          <w:sz w:val="20"/>
          <w:szCs w:val="20"/>
        </w:rPr>
        <w:t xml:space="preserve"> – podpora</w:t>
      </w:r>
      <w:r w:rsidRPr="75B88526">
        <w:rPr>
          <w:rFonts w:eastAsiaTheme="minorEastAsia"/>
          <w:color w:val="auto"/>
          <w:sz w:val="20"/>
          <w:szCs w:val="20"/>
        </w:rPr>
        <w:t xml:space="preserve"> nákupu elektromobilů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dobíjecích stanic pro podnikatele 0,6 mld. Kč dle schválených projektů; přes 1 300 EV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více než 200 dobíjecích stanic </w:t>
      </w:r>
      <w:r w:rsidR="4F248655" w:rsidRPr="75B88526">
        <w:rPr>
          <w:rFonts w:eastAsiaTheme="minorEastAsia"/>
          <w:color w:val="auto"/>
          <w:sz w:val="20"/>
          <w:szCs w:val="20"/>
        </w:rPr>
        <w:t xml:space="preserve"> </w:t>
      </w:r>
    </w:p>
    <w:p w14:paraId="0A463380" w14:textId="77777777" w:rsidR="002F1D49" w:rsidRPr="00D10829" w:rsidRDefault="5F3F3E2A" w:rsidP="75B88526">
      <w:pPr>
        <w:numPr>
          <w:ilvl w:val="0"/>
          <w:numId w:val="12"/>
        </w:numPr>
        <w:spacing w:after="120" w:line="240" w:lineRule="auto"/>
        <w:ind w:left="714" w:hanging="357"/>
        <w:contextualSpacing/>
        <w:jc w:val="both"/>
        <w:rPr>
          <w:rFonts w:eastAsiaTheme="minorEastAsia"/>
          <w:color w:val="auto"/>
          <w:sz w:val="20"/>
          <w:szCs w:val="20"/>
        </w:rPr>
      </w:pPr>
      <w:bookmarkStart w:id="13" w:name="_Hlk58396537"/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Integrovaný regionální operační </w:t>
      </w:r>
      <w:bookmarkEnd w:id="13"/>
      <w:r w:rsidR="4AB8D8F5" w:rsidRPr="75B88526">
        <w:rPr>
          <w:rFonts w:eastAsiaTheme="minorEastAsia"/>
          <w:b/>
          <w:bCs/>
          <w:color w:val="auto"/>
          <w:sz w:val="20"/>
          <w:szCs w:val="20"/>
        </w:rPr>
        <w:t>program</w:t>
      </w:r>
      <w:r w:rsidR="4AB8D8F5" w:rsidRPr="75B88526">
        <w:rPr>
          <w:rFonts w:eastAsiaTheme="minorEastAsia"/>
          <w:color w:val="auto"/>
          <w:sz w:val="20"/>
          <w:szCs w:val="20"/>
        </w:rPr>
        <w:t xml:space="preserve"> – podpora</w:t>
      </w:r>
      <w:r w:rsidR="2117C584" w:rsidRPr="75B88526">
        <w:rPr>
          <w:rFonts w:eastAsiaTheme="minorEastAsia"/>
          <w:color w:val="auto"/>
          <w:sz w:val="20"/>
          <w:szCs w:val="20"/>
        </w:rPr>
        <w:t xml:space="preserve"> vozidel na alternativní paliva (veřejná doprava); 8,5 mld. Kč schválené projekty cca 1 150 </w:t>
      </w:r>
      <w:r w:rsidR="75780517" w:rsidRPr="75B88526">
        <w:rPr>
          <w:rFonts w:eastAsiaTheme="minorEastAsia"/>
          <w:color w:val="auto"/>
          <w:sz w:val="20"/>
          <w:szCs w:val="20"/>
        </w:rPr>
        <w:t>vozidel;</w:t>
      </w:r>
      <w:r w:rsidR="2117C584" w:rsidRPr="75B88526">
        <w:rPr>
          <w:rFonts w:eastAsiaTheme="minorEastAsia"/>
          <w:color w:val="auto"/>
          <w:sz w:val="20"/>
          <w:szCs w:val="20"/>
        </w:rPr>
        <w:t xml:space="preserve"> do 31.1</w:t>
      </w:r>
      <w:r w:rsidR="4B123830" w:rsidRPr="75B88526">
        <w:rPr>
          <w:rFonts w:eastAsiaTheme="minorEastAsia"/>
          <w:color w:val="auto"/>
          <w:sz w:val="20"/>
          <w:szCs w:val="20"/>
        </w:rPr>
        <w:t>2</w:t>
      </w:r>
      <w:r w:rsidR="2117C584" w:rsidRPr="75B88526">
        <w:rPr>
          <w:rFonts w:eastAsiaTheme="minorEastAsia"/>
          <w:color w:val="auto"/>
          <w:sz w:val="20"/>
          <w:szCs w:val="20"/>
        </w:rPr>
        <w:t>. 2020 pořízeno 79</w:t>
      </w:r>
      <w:r w:rsidR="5A08F6DA" w:rsidRPr="75B88526">
        <w:rPr>
          <w:rFonts w:eastAsiaTheme="minorEastAsia"/>
          <w:color w:val="auto"/>
          <w:sz w:val="20"/>
          <w:szCs w:val="20"/>
        </w:rPr>
        <w:t> </w:t>
      </w:r>
      <w:r w:rsidR="2117C584" w:rsidRPr="75B88526">
        <w:rPr>
          <w:rFonts w:eastAsiaTheme="minorEastAsia"/>
          <w:color w:val="auto"/>
          <w:sz w:val="20"/>
          <w:szCs w:val="20"/>
        </w:rPr>
        <w:t xml:space="preserve">elektrobusů, </w:t>
      </w:r>
      <w:r w:rsidR="4B123830" w:rsidRPr="75B88526">
        <w:rPr>
          <w:rFonts w:eastAsiaTheme="minorEastAsia"/>
          <w:color w:val="auto"/>
          <w:sz w:val="20"/>
          <w:szCs w:val="20"/>
        </w:rPr>
        <w:t>156 </w:t>
      </w:r>
      <w:r w:rsidR="29A5A6DA" w:rsidRPr="75B88526">
        <w:rPr>
          <w:rFonts w:eastAsiaTheme="minorEastAsia"/>
          <w:color w:val="auto"/>
          <w:sz w:val="20"/>
          <w:szCs w:val="20"/>
        </w:rPr>
        <w:t xml:space="preserve">trolejbusů, </w:t>
      </w:r>
      <w:r w:rsidR="4B123830" w:rsidRPr="75B88526">
        <w:rPr>
          <w:rFonts w:eastAsiaTheme="minorEastAsia"/>
          <w:color w:val="auto"/>
          <w:sz w:val="20"/>
          <w:szCs w:val="20"/>
        </w:rPr>
        <w:t xml:space="preserve">39 </w:t>
      </w:r>
      <w:r w:rsidR="2117C584" w:rsidRPr="75B88526">
        <w:rPr>
          <w:rFonts w:eastAsiaTheme="minorEastAsia"/>
          <w:color w:val="auto"/>
          <w:sz w:val="20"/>
          <w:szCs w:val="20"/>
        </w:rPr>
        <w:t>tramvají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="4B123830" w:rsidRPr="75B88526">
        <w:rPr>
          <w:rFonts w:eastAsiaTheme="minorEastAsia"/>
          <w:color w:val="auto"/>
          <w:sz w:val="20"/>
          <w:szCs w:val="20"/>
        </w:rPr>
        <w:t xml:space="preserve">590 </w:t>
      </w:r>
      <w:r w:rsidR="2117C584" w:rsidRPr="75B88526">
        <w:rPr>
          <w:rFonts w:eastAsiaTheme="minorEastAsia"/>
          <w:color w:val="auto"/>
          <w:sz w:val="20"/>
          <w:szCs w:val="20"/>
        </w:rPr>
        <w:t>autobusů na CNG</w:t>
      </w:r>
    </w:p>
    <w:p w14:paraId="29D5FDC6" w14:textId="77777777" w:rsidR="002F1D49" w:rsidRPr="00D10829" w:rsidRDefault="2117C584" w:rsidP="75B88526">
      <w:pPr>
        <w:numPr>
          <w:ilvl w:val="0"/>
          <w:numId w:val="12"/>
        </w:numPr>
        <w:spacing w:after="120" w:line="240" w:lineRule="auto"/>
        <w:ind w:left="714" w:hanging="357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OP</w:t>
      </w:r>
      <w:r w:rsidR="5F3F3E2A" w:rsidRPr="75B88526">
        <w:rPr>
          <w:rFonts w:eastAsiaTheme="minorEastAsia"/>
          <w:b/>
          <w:bCs/>
          <w:color w:val="auto"/>
          <w:sz w:val="20"/>
          <w:szCs w:val="20"/>
        </w:rPr>
        <w:t xml:space="preserve"> </w:t>
      </w:r>
      <w:r w:rsidRPr="75B88526">
        <w:rPr>
          <w:rFonts w:eastAsiaTheme="minorEastAsia"/>
          <w:b/>
          <w:bCs/>
          <w:color w:val="auto"/>
          <w:sz w:val="20"/>
          <w:szCs w:val="20"/>
        </w:rPr>
        <w:t>D</w:t>
      </w:r>
      <w:r w:rsidR="5F3F3E2A" w:rsidRPr="75B88526">
        <w:rPr>
          <w:rFonts w:eastAsiaTheme="minorEastAsia"/>
          <w:b/>
          <w:bCs/>
          <w:color w:val="auto"/>
          <w:sz w:val="20"/>
          <w:szCs w:val="20"/>
        </w:rPr>
        <w:t>oprava</w:t>
      </w: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 </w:t>
      </w:r>
      <w:r w:rsidRPr="75B88526">
        <w:rPr>
          <w:rFonts w:eastAsiaTheme="minorEastAsia"/>
          <w:color w:val="auto"/>
          <w:sz w:val="20"/>
          <w:szCs w:val="20"/>
        </w:rPr>
        <w:t>podpora výstavby veřejné dobíjecí infrastruktury; schválené projekty za 1,25 mld. Kč (cca 500 </w:t>
      </w:r>
      <w:r w:rsidR="4AB8D8F5" w:rsidRPr="75B88526">
        <w:rPr>
          <w:rFonts w:eastAsiaTheme="minorEastAsia"/>
          <w:color w:val="auto"/>
          <w:sz w:val="20"/>
          <w:szCs w:val="20"/>
        </w:rPr>
        <w:t>rychle</w:t>
      </w:r>
      <w:r w:rsidR="29A5A6DA" w:rsidRPr="75B88526">
        <w:rPr>
          <w:rFonts w:eastAsiaTheme="minorEastAsia"/>
          <w:color w:val="auto"/>
          <w:sz w:val="20"/>
          <w:szCs w:val="20"/>
        </w:rPr>
        <w:t xml:space="preserve"> +</w:t>
      </w:r>
      <w:r w:rsidRPr="75B88526">
        <w:rPr>
          <w:rFonts w:eastAsiaTheme="minorEastAsia"/>
          <w:color w:val="auto"/>
          <w:sz w:val="20"/>
          <w:szCs w:val="20"/>
        </w:rPr>
        <w:t xml:space="preserve"> 780 </w:t>
      </w:r>
      <w:r w:rsidR="4AB8D8F5" w:rsidRPr="75B88526">
        <w:rPr>
          <w:rFonts w:eastAsiaTheme="minorEastAsia"/>
          <w:color w:val="auto"/>
          <w:sz w:val="20"/>
          <w:szCs w:val="20"/>
        </w:rPr>
        <w:t>pomalu dobíjecích</w:t>
      </w:r>
      <w:r w:rsidRPr="75B88526">
        <w:rPr>
          <w:rFonts w:eastAsiaTheme="minorEastAsia"/>
          <w:color w:val="auto"/>
          <w:sz w:val="20"/>
          <w:szCs w:val="20"/>
        </w:rPr>
        <w:t xml:space="preserve"> stanic), </w:t>
      </w:r>
      <w:r w:rsidR="4F248655" w:rsidRPr="75B88526">
        <w:rPr>
          <w:rFonts w:eastAsiaTheme="minorEastAsia"/>
          <w:color w:val="auto"/>
          <w:sz w:val="20"/>
          <w:szCs w:val="20"/>
        </w:rPr>
        <w:t>7 vodíkových stanic, 18 LNG stanic a 9 CNG stanic</w:t>
      </w:r>
    </w:p>
    <w:p w14:paraId="1B85E1D5" w14:textId="77777777" w:rsidR="002F1D49" w:rsidRPr="00D10829" w:rsidRDefault="2117C584" w:rsidP="75B88526">
      <w:pPr>
        <w:numPr>
          <w:ilvl w:val="0"/>
          <w:numId w:val="12"/>
        </w:numPr>
        <w:spacing w:after="120" w:line="240" w:lineRule="auto"/>
        <w:ind w:left="714" w:hanging="357"/>
        <w:contextualSpacing/>
        <w:jc w:val="both"/>
        <w:rPr>
          <w:rFonts w:eastAsiaTheme="minorEastAsia"/>
          <w:b/>
          <w:bCs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>N</w:t>
      </w:r>
      <w:r w:rsidR="6E364E2E" w:rsidRPr="75B88526">
        <w:rPr>
          <w:rFonts w:eastAsiaTheme="minorEastAsia"/>
          <w:b/>
          <w:bCs/>
          <w:color w:val="auto"/>
          <w:sz w:val="20"/>
          <w:szCs w:val="20"/>
        </w:rPr>
        <w:t>árodní program Životního prostředí – alokace</w:t>
      </w:r>
      <w:r w:rsidRPr="75B88526">
        <w:rPr>
          <w:rFonts w:eastAsiaTheme="minorEastAsia"/>
          <w:color w:val="auto"/>
          <w:sz w:val="20"/>
          <w:szCs w:val="20"/>
        </w:rPr>
        <w:t xml:space="preserve"> 0,4 mld. Kč; schválené projekty cca</w:t>
      </w:r>
      <w:r w:rsidR="5A08F6D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800</w:t>
      </w:r>
      <w:r w:rsidR="4F248655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vozidel (3/4 elektromobily)</w:t>
      </w:r>
    </w:p>
    <w:p w14:paraId="36320401" w14:textId="77777777" w:rsidR="002F1D49" w:rsidRPr="00D10829" w:rsidRDefault="4AB8D8F5" w:rsidP="75B88526">
      <w:pPr>
        <w:numPr>
          <w:ilvl w:val="0"/>
          <w:numId w:val="12"/>
        </w:numPr>
        <w:spacing w:after="120" w:line="240" w:lineRule="auto"/>
        <w:ind w:left="714" w:hanging="357"/>
        <w:contextualSpacing/>
        <w:jc w:val="both"/>
        <w:rPr>
          <w:rFonts w:eastAsiaTheme="minorEastAsia"/>
          <w:b/>
          <w:bCs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Program </w:t>
      </w:r>
      <w:r w:rsidR="2117C584" w:rsidRPr="75B88526">
        <w:rPr>
          <w:rFonts w:eastAsiaTheme="minorEastAsia"/>
          <w:b/>
          <w:bCs/>
          <w:color w:val="auto"/>
          <w:sz w:val="20"/>
          <w:szCs w:val="20"/>
        </w:rPr>
        <w:t>CEF</w:t>
      </w: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 (Connecting Europe Facility) </w:t>
      </w:r>
      <w:r w:rsidR="2117C584" w:rsidRPr="75B88526">
        <w:rPr>
          <w:rFonts w:eastAsiaTheme="minorEastAsia"/>
          <w:color w:val="auto"/>
          <w:sz w:val="20"/>
          <w:szCs w:val="20"/>
        </w:rPr>
        <w:t>dobíjecí stanice dva projekty za ČEZ 108</w:t>
      </w:r>
      <w:r w:rsidR="5A08F6DA" w:rsidRPr="75B88526">
        <w:rPr>
          <w:rFonts w:eastAsiaTheme="minorEastAsia"/>
          <w:color w:val="auto"/>
          <w:sz w:val="20"/>
          <w:szCs w:val="20"/>
        </w:rPr>
        <w:t> </w:t>
      </w:r>
      <w:r w:rsidR="2117C584" w:rsidRPr="75B88526">
        <w:rPr>
          <w:rFonts w:eastAsiaTheme="minorEastAsia"/>
          <w:color w:val="auto"/>
          <w:sz w:val="20"/>
          <w:szCs w:val="20"/>
        </w:rPr>
        <w:t>dobíjecích stanic 3,5 mil. €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="2117C584" w:rsidRPr="75B88526">
        <w:rPr>
          <w:rFonts w:eastAsiaTheme="minorEastAsia"/>
          <w:color w:val="auto"/>
          <w:sz w:val="20"/>
          <w:szCs w:val="20"/>
        </w:rPr>
        <w:t xml:space="preserve">jeden dobíjecí síť ve střední Evropě za 12 mil. </w:t>
      </w:r>
      <w:r w:rsidR="29A5A6DA" w:rsidRPr="75B88526">
        <w:rPr>
          <w:rFonts w:eastAsiaTheme="minorEastAsia"/>
          <w:color w:val="auto"/>
          <w:sz w:val="20"/>
          <w:szCs w:val="20"/>
        </w:rPr>
        <w:t>€ (</w:t>
      </w:r>
      <w:r w:rsidR="2117C584" w:rsidRPr="75B88526">
        <w:rPr>
          <w:rFonts w:eastAsiaTheme="minorEastAsia"/>
          <w:color w:val="auto"/>
          <w:sz w:val="20"/>
          <w:szCs w:val="20"/>
        </w:rPr>
        <w:t>proplacené náklady)</w:t>
      </w:r>
      <w:r w:rsidR="2117C584" w:rsidRPr="75B88526">
        <w:rPr>
          <w:rFonts w:eastAsiaTheme="minorEastAsia"/>
          <w:b/>
          <w:bCs/>
          <w:color w:val="auto"/>
          <w:sz w:val="20"/>
          <w:szCs w:val="20"/>
        </w:rPr>
        <w:t xml:space="preserve"> </w:t>
      </w:r>
    </w:p>
    <w:p w14:paraId="40724363" w14:textId="77777777" w:rsidR="0091015F" w:rsidRPr="00D10829" w:rsidRDefault="21B28DBC" w:rsidP="75B88526">
      <w:pPr>
        <w:numPr>
          <w:ilvl w:val="0"/>
          <w:numId w:val="12"/>
        </w:numPr>
        <w:spacing w:after="120" w:line="240" w:lineRule="auto"/>
        <w:ind w:left="714" w:hanging="357"/>
        <w:contextualSpacing/>
        <w:jc w:val="both"/>
        <w:rPr>
          <w:rFonts w:eastAsiaTheme="minorEastAsia"/>
          <w:b/>
          <w:bCs/>
          <w:color w:val="auto"/>
          <w:sz w:val="20"/>
          <w:szCs w:val="20"/>
        </w:rPr>
      </w:pPr>
      <w:r w:rsidRPr="75B88526">
        <w:rPr>
          <w:rFonts w:eastAsiaTheme="minorEastAsia"/>
          <w:b/>
          <w:bCs/>
          <w:color w:val="auto"/>
          <w:sz w:val="20"/>
          <w:szCs w:val="20"/>
        </w:rPr>
        <w:t xml:space="preserve">CEF – </w:t>
      </w:r>
      <w:r w:rsidRPr="75B88526">
        <w:rPr>
          <w:rFonts w:eastAsiaTheme="minorEastAsia"/>
          <w:color w:val="auto"/>
          <w:sz w:val="20"/>
          <w:szCs w:val="20"/>
        </w:rPr>
        <w:t>jeden proje</w:t>
      </w:r>
      <w:r w:rsidR="4AD65116" w:rsidRPr="75B88526">
        <w:rPr>
          <w:rFonts w:eastAsiaTheme="minorEastAsia"/>
          <w:color w:val="auto"/>
          <w:sz w:val="20"/>
          <w:szCs w:val="20"/>
        </w:rPr>
        <w:t>k</w:t>
      </w:r>
      <w:r w:rsidRPr="75B88526">
        <w:rPr>
          <w:rFonts w:eastAsiaTheme="minorEastAsia"/>
          <w:color w:val="auto"/>
          <w:sz w:val="20"/>
          <w:szCs w:val="20"/>
        </w:rPr>
        <w:t xml:space="preserve">t </w:t>
      </w:r>
      <w:r w:rsidR="4AD65116" w:rsidRPr="75B88526">
        <w:rPr>
          <w:rFonts w:eastAsiaTheme="minorEastAsia"/>
          <w:color w:val="auto"/>
          <w:sz w:val="20"/>
          <w:szCs w:val="20"/>
        </w:rPr>
        <w:t>„</w:t>
      </w:r>
      <w:r w:rsidRPr="75B88526">
        <w:rPr>
          <w:rFonts w:eastAsiaTheme="minorEastAsia"/>
          <w:color w:val="auto"/>
          <w:sz w:val="20"/>
          <w:szCs w:val="20"/>
        </w:rPr>
        <w:t>LNG Rollout in Central Europe – for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greener transportation sector</w:t>
      </w:r>
      <w:r w:rsidR="4AD65116" w:rsidRPr="75B88526">
        <w:rPr>
          <w:rFonts w:eastAsiaTheme="minorEastAsia"/>
          <w:color w:val="auto"/>
          <w:sz w:val="20"/>
          <w:szCs w:val="20"/>
        </w:rPr>
        <w:t>“</w:t>
      </w:r>
      <w:r w:rsidRPr="75B88526">
        <w:rPr>
          <w:rFonts w:eastAsiaTheme="minorEastAsia"/>
          <w:color w:val="auto"/>
          <w:sz w:val="20"/>
          <w:szCs w:val="20"/>
        </w:rPr>
        <w:t xml:space="preserve"> (zatím nebyl financován)</w:t>
      </w:r>
    </w:p>
    <w:p w14:paraId="35AC917A" w14:textId="77777777" w:rsidR="0091015F" w:rsidRPr="00D10829" w:rsidRDefault="5A510727" w:rsidP="75B88526">
      <w:pPr>
        <w:spacing w:after="120" w:line="240" w:lineRule="auto"/>
        <w:ind w:left="714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CEF – Čeští</w:t>
      </w:r>
      <w:r w:rsidR="21B28DBC" w:rsidRPr="75B88526">
        <w:rPr>
          <w:rFonts w:eastAsiaTheme="minorEastAsia"/>
          <w:color w:val="auto"/>
          <w:sz w:val="20"/>
          <w:szCs w:val="20"/>
        </w:rPr>
        <w:t xml:space="preserve"> příjemci se účastní 58 projektů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="21B28DBC" w:rsidRPr="75B88526">
        <w:rPr>
          <w:rFonts w:eastAsiaTheme="minorEastAsia"/>
          <w:color w:val="auto"/>
          <w:sz w:val="20"/>
          <w:szCs w:val="20"/>
        </w:rPr>
        <w:t>získávají 956,2 milionu EUR na spolufinancování CEF Transport (z celkového počtu 916 milionů EUR pochází z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="21B28DBC" w:rsidRPr="75B88526">
        <w:rPr>
          <w:rFonts w:eastAsiaTheme="minorEastAsia"/>
          <w:color w:val="auto"/>
          <w:sz w:val="20"/>
          <w:szCs w:val="20"/>
        </w:rPr>
        <w:t>obálky soudržnosti), přičemž investice do těchto projektů činily 1,3 miliardy EUR.</w:t>
      </w:r>
    </w:p>
    <w:p w14:paraId="5A919328" w14:textId="77777777" w:rsidR="0091015F" w:rsidRDefault="21B28DBC" w:rsidP="75B88526">
      <w:pPr>
        <w:spacing w:after="120" w:line="240" w:lineRule="auto"/>
        <w:ind w:left="714"/>
        <w:contextualSpacing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Dalších 5 projektů se nachází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Česku, ale bez zapojení českých příjemců. Tyto projekty odpovídají celkem 293,1 mil. EUR financování CEF Transport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celkové investici 671,7</w:t>
      </w:r>
      <w:r w:rsidR="5A08F6D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mil.</w:t>
      </w:r>
      <w:r w:rsidR="5A08F6D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EUR.</w:t>
      </w:r>
    </w:p>
    <w:p w14:paraId="3DEEC669" w14:textId="77777777" w:rsidR="007A6F3C" w:rsidRPr="00D10829" w:rsidRDefault="007A6F3C" w:rsidP="75B88526">
      <w:pPr>
        <w:spacing w:after="120" w:line="240" w:lineRule="auto"/>
        <w:ind w:left="714"/>
        <w:contextualSpacing/>
        <w:jc w:val="both"/>
        <w:rPr>
          <w:rFonts w:eastAsiaTheme="minorEastAsia"/>
          <w:color w:val="auto"/>
          <w:sz w:val="23"/>
          <w:szCs w:val="23"/>
        </w:rPr>
      </w:pPr>
    </w:p>
    <w:p w14:paraId="0385B6EB" w14:textId="77777777" w:rsidR="002C20CF" w:rsidRPr="00D10829" w:rsidRDefault="16744944" w:rsidP="75B88526">
      <w:pPr>
        <w:pStyle w:val="K-Nadpis2"/>
        <w:spacing w:before="0" w:after="120" w:line="240" w:lineRule="auto"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color w:val="auto"/>
          <w:sz w:val="23"/>
          <w:szCs w:val="23"/>
        </w:rPr>
        <w:t>3</w:t>
      </w: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. </w:t>
      </w:r>
      <w:r w:rsidR="112392EC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Popis reforem</w:t>
      </w:r>
      <w:r w:rsidR="440B784B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a</w:t>
      </w:r>
      <w:r w:rsidR="2B7D270A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 </w:t>
      </w:r>
      <w:r w:rsidR="440B784B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investic</w:t>
      </w:r>
      <w:r w:rsidR="112392EC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k</w:t>
      </w: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omponent</w:t>
      </w:r>
      <w:r w:rsidR="112392EC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y</w:t>
      </w: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</w:p>
    <w:p w14:paraId="5F2F6EC5" w14:textId="77777777" w:rsidR="000C0598" w:rsidRPr="00D10829" w:rsidRDefault="4C6023EB" w:rsidP="75B88526">
      <w:pPr>
        <w:pStyle w:val="K-Nadpis3"/>
        <w:numPr>
          <w:ilvl w:val="0"/>
          <w:numId w:val="16"/>
        </w:numPr>
        <w:ind w:left="360"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bookmarkStart w:id="14" w:name="_Ref63235409"/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Popis r</w:t>
      </w:r>
      <w:r w:rsidR="03876752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efor</w:t>
      </w: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e</w:t>
      </w:r>
      <w:r w:rsidR="03876752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m</w:t>
      </w:r>
      <w:bookmarkEnd w:id="14"/>
      <w:r w:rsidR="03876752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</w:p>
    <w:p w14:paraId="5F1B3CC5" w14:textId="77777777" w:rsidR="00871E23" w:rsidRPr="00D10829" w:rsidRDefault="273E3BEE" w:rsidP="75B88526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sz w:val="20"/>
          <w:szCs w:val="20"/>
        </w:rPr>
        <w:t>Doprava je i v ČR významným zdrojem znečišťujících látek (pevné částice frakce PM</w:t>
      </w:r>
      <w:r w:rsidRPr="75B88526">
        <w:rPr>
          <w:rFonts w:asciiTheme="minorHAnsi" w:eastAsiaTheme="minorEastAsia" w:hAnsiTheme="minorHAnsi" w:cstheme="minorBidi"/>
          <w:sz w:val="20"/>
          <w:szCs w:val="20"/>
          <w:vertAlign w:val="subscript"/>
        </w:rPr>
        <w:t>2,5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, PM</w:t>
      </w:r>
      <w:r w:rsidRPr="75B88526">
        <w:rPr>
          <w:rFonts w:asciiTheme="minorHAnsi" w:eastAsiaTheme="minorEastAsia" w:hAnsiTheme="minorHAnsi" w:cstheme="minorBidi"/>
          <w:sz w:val="20"/>
          <w:szCs w:val="20"/>
          <w:vertAlign w:val="subscript"/>
        </w:rPr>
        <w:t>10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, CO</w:t>
      </w:r>
      <w:r w:rsidRPr="75B88526">
        <w:rPr>
          <w:rFonts w:asciiTheme="minorHAnsi" w:eastAsiaTheme="minorEastAsia" w:hAnsiTheme="minorHAnsi" w:cstheme="minorBidi"/>
          <w:sz w:val="20"/>
          <w:szCs w:val="20"/>
          <w:vertAlign w:val="subscript"/>
        </w:rPr>
        <w:t>2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, NO</w:t>
      </w:r>
      <w:r w:rsidRPr="75B88526">
        <w:rPr>
          <w:rFonts w:asciiTheme="minorHAnsi" w:eastAsiaTheme="minorEastAsia" w:hAnsiTheme="minorHAnsi" w:cstheme="minorBidi"/>
          <w:sz w:val="20"/>
          <w:szCs w:val="20"/>
          <w:vertAlign w:val="subscript"/>
        </w:rPr>
        <w:t>2</w:t>
      </w:r>
      <w:r w:rsidRPr="75B88526">
        <w:rPr>
          <w:rFonts w:asciiTheme="minorHAnsi" w:eastAsiaTheme="minorEastAsia" w:hAnsiTheme="minorHAnsi" w:cstheme="minorBidi"/>
          <w:sz w:val="20"/>
          <w:szCs w:val="20"/>
        </w:rPr>
        <w:t>). Problém znečištění ze silniční dopravy se týká zejména velkých měst a aglomerací, ale nevyhýbá se také menším sídlům s vysokou intenzitou dopravy.</w:t>
      </w:r>
      <w:r w:rsidR="1996EC18" w:rsidRPr="75B88526">
        <w:rPr>
          <w:rFonts w:asciiTheme="minorHAnsi" w:eastAsiaTheme="minorEastAsia" w:hAnsiTheme="minorHAnsi" w:cstheme="minorBidi"/>
          <w:sz w:val="20"/>
          <w:szCs w:val="20"/>
        </w:rPr>
        <w:t xml:space="preserve"> ČR je rovněž významnou tranzitní zemí.</w:t>
      </w:r>
    </w:p>
    <w:p w14:paraId="0CABD961" w14:textId="77777777" w:rsidR="00871E23" w:rsidRPr="00D10829" w:rsidRDefault="273E3BEE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Např. v Praze se doprava v roce 2016 podílela na celkových emisích PM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2,5</w:t>
      </w:r>
      <w:r w:rsidRPr="75B88526">
        <w:rPr>
          <w:rFonts w:eastAsiaTheme="minorEastAsia"/>
          <w:color w:val="auto"/>
          <w:sz w:val="20"/>
          <w:szCs w:val="20"/>
        </w:rPr>
        <w:t xml:space="preserve"> téměř 50 % a na celkových emisích oxidů dusíku cca 75 %. </w:t>
      </w:r>
    </w:p>
    <w:p w14:paraId="5B85CAC6" w14:textId="77777777" w:rsidR="00871E23" w:rsidRPr="00D10829" w:rsidRDefault="273E3BEE" w:rsidP="75B88526">
      <w:pPr>
        <w:pStyle w:val="K-Nadpis3"/>
        <w:rPr>
          <w:rFonts w:asciiTheme="minorHAnsi" w:eastAsiaTheme="minorEastAsia" w:hAnsiTheme="minorHAnsi" w:cstheme="minorBidi"/>
          <w:b w:val="0"/>
          <w:color w:val="auto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</w:rPr>
        <w:t>Z výše uvedeného vyplývá, že pro zlepšení kvality ovzduší a snižování emisí z dopravy je žádoucí posílit zastoupení nízkoemisních způsobů dopravy, tedy čistou mobilitu. Tuto skutečnost zmiňují i některé existující strategické dokumenty přijaté vládou ČR jako např. Státní politika životního prostředí ČR, Politika ochrany klimatu v ČR, Národní program snižování emisí ČR.</w:t>
      </w:r>
    </w:p>
    <w:p w14:paraId="2F4ACC9A" w14:textId="77777777" w:rsidR="00C87389" w:rsidRPr="00D10829" w:rsidRDefault="0ADB29EF" w:rsidP="75B88526">
      <w:pPr>
        <w:pStyle w:val="K-Nadpis3"/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</w:pPr>
      <w:r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  <w:t xml:space="preserve">Snahou České republiky je mj. snížení emisí v dopravě prostřednictvím opatření uvedených v Aktualizaci Národního akčního plánu čisté mobility, který vznikl na základě požadavku směrnice Evropského parlamentu a Rady 2014/94/EU o zavádění infrastruktury pro alternativní paliva, a ze kterého vychází komponenta čistá mobilita. Zároveň se jedná o podporu transformace automobilového průmyslu v souvislosti s přechodem na nízkoemisní mobilitu v souladu s Memorandem o budoucnosti automobilového průmyslu.  </w:t>
      </w:r>
    </w:p>
    <w:p w14:paraId="5795DA03" w14:textId="77777777" w:rsidR="00C87389" w:rsidRPr="00D10829" w:rsidRDefault="0ADB29EF" w:rsidP="75B88526">
      <w:pPr>
        <w:pStyle w:val="K-Nadpis3"/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</w:pPr>
      <w:r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  <w:t>V souvislosti s podporou nízkoemisních vozidel (elektromobily a PHEVs) bude v případě osobních vozidel aplikován limit 50 g CO2/km. Tento limit vychází ze Směrnice EP a Rady 2019/1161, kterou se mění směrnice 2009/33/ES o podpoře čistých a energeticky účinných silničních vozidel, která stanoví povinný podíl nízko a bezemisních vozidel pořizovaných veřejnými zadavateli</w:t>
      </w:r>
      <w:r w:rsidR="5A08F6DA"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  <w:t>.</w:t>
      </w:r>
    </w:p>
    <w:p w14:paraId="7C9E7417" w14:textId="77777777" w:rsidR="00C87389" w:rsidRPr="00D10829" w:rsidRDefault="0ADB29EF" w:rsidP="75B88526">
      <w:pPr>
        <w:pStyle w:val="K-Nadpis3"/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</w:pPr>
      <w:r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  <w:lastRenderedPageBreak/>
        <w:t xml:space="preserve">Cílem je rozvoj potřebné infrastruktury pro vozidla na alternativní paliva a zvýšení počtu těchto vozidel v České republice. To pomůže nastartování výroby a prodejů vozidel na alternativní paliva v ČR. Vazba tohoto cíle je v doporučeních EU pro ČR v rámci udržitelné dopravní infrastruktury. </w:t>
      </w:r>
    </w:p>
    <w:p w14:paraId="5D962308" w14:textId="77777777" w:rsidR="00871E23" w:rsidRPr="00D10829" w:rsidRDefault="273E3BEE" w:rsidP="75B88526">
      <w:pPr>
        <w:pStyle w:val="K-Nadpis3"/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</w:pPr>
      <w:r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  <w:t>Veřejná dobíjecí infrastruktura je klíčová pro rozvoj elektromobility, ale těžištěm dobíjení bude neveřejné dobíjení, kterým se zpravidla myslí dobíjení v domácnostech anebo v zaměstnání (často citovanou hodnotou je 80% podíl). Z logiky věci vyplývá, že veřejné a neveřejné dobíjení se navzájem doplňují. Zatímco neveřejné dobíjení bude atraktivní zejména nízkými náklady, hlavním parametrem veřejné infrastruktury je její výkon, tj. rychlost dobíjení.</w:t>
      </w:r>
      <w:r w:rsidR="188EF1A1" w:rsidRPr="75B88526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188EF1A1"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  <w:t>Podpora budování veřejné infrastruktury je plánována v rámci připravovaného Operačního programu Doprava 2021-2027 (OPD3).</w:t>
      </w:r>
    </w:p>
    <w:p w14:paraId="3A8F28AF" w14:textId="77777777" w:rsidR="00871E23" w:rsidRPr="00D10829" w:rsidRDefault="273E3BEE" w:rsidP="75B88526">
      <w:pPr>
        <w:pStyle w:val="K-Nadpis3"/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</w:pPr>
      <w:r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  <w:t>Specifickým segmentem elektromobility je využití v rámci MHD, kdy lze maximálně vytěžit výhody lokálně bezemisního provozu.</w:t>
      </w:r>
    </w:p>
    <w:p w14:paraId="38D069D2" w14:textId="77777777" w:rsidR="00871E23" w:rsidRPr="00D10829" w:rsidRDefault="273E3BEE" w:rsidP="75B88526">
      <w:pPr>
        <w:pStyle w:val="K-Nadpis3"/>
        <w:rPr>
          <w:rFonts w:asciiTheme="minorHAnsi" w:eastAsiaTheme="minorEastAsia" w:hAnsiTheme="minorHAnsi" w:cstheme="minorBidi"/>
          <w:b w:val="0"/>
          <w:color w:val="auto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b w:val="0"/>
          <w:color w:val="auto"/>
          <w:sz w:val="20"/>
          <w:szCs w:val="20"/>
        </w:rPr>
        <w:t>Pokud se mají efekty rozvoje čisté mobility v rámci EU projevit odpovídajícím způsobem, je třeba, aby byly využity i nástroje stimulace poptávky po bezemisních a nízkoemisních vozidlech.</w:t>
      </w:r>
    </w:p>
    <w:p w14:paraId="3656B9AB" w14:textId="77777777" w:rsidR="005905DC" w:rsidRPr="00D10829" w:rsidRDefault="005905DC" w:rsidP="75B88526">
      <w:pPr>
        <w:pStyle w:val="K-Nadpis3"/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eastAsia="cs-CZ"/>
        </w:rPr>
      </w:pPr>
    </w:p>
    <w:p w14:paraId="1EC1D54B" w14:textId="77777777" w:rsidR="002E19BA" w:rsidRPr="00D10829" w:rsidRDefault="4C6023EB" w:rsidP="75B88526">
      <w:pPr>
        <w:pStyle w:val="K-Nadpis3"/>
        <w:numPr>
          <w:ilvl w:val="0"/>
          <w:numId w:val="16"/>
        </w:numPr>
        <w:ind w:left="360"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Popis </w:t>
      </w:r>
      <w:r w:rsidR="03876752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investic</w:t>
      </w:r>
    </w:p>
    <w:p w14:paraId="45FB0818" w14:textId="77777777" w:rsidR="005B3665" w:rsidRDefault="005B3665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</w:p>
    <w:p w14:paraId="07996A05" w14:textId="77777777" w:rsidR="00F91337" w:rsidRPr="00D10829" w:rsidRDefault="1C2F83AF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1.</w:t>
      </w:r>
      <w:r w:rsidR="696FF93E" w:rsidRPr="75B88526">
        <w:rPr>
          <w:rFonts w:eastAsiaTheme="minorEastAsia"/>
          <w:color w:val="auto"/>
          <w:sz w:val="20"/>
          <w:szCs w:val="20"/>
        </w:rPr>
        <w:t>1</w:t>
      </w:r>
      <w:r w:rsidRPr="75B88526">
        <w:rPr>
          <w:rFonts w:eastAsiaTheme="minorEastAsia"/>
          <w:color w:val="auto"/>
          <w:sz w:val="20"/>
          <w:szCs w:val="20"/>
        </w:rPr>
        <w:t xml:space="preserve">. Budování </w:t>
      </w:r>
      <w:r w:rsidR="2C7C759A" w:rsidRPr="75B88526">
        <w:rPr>
          <w:rFonts w:eastAsiaTheme="minorEastAsia"/>
          <w:color w:val="auto"/>
          <w:sz w:val="20"/>
          <w:szCs w:val="20"/>
        </w:rPr>
        <w:t>infrastruktury – pro</w:t>
      </w:r>
      <w:r w:rsidR="24C62D0D" w:rsidRPr="75B88526">
        <w:rPr>
          <w:rFonts w:eastAsiaTheme="minorEastAsia"/>
          <w:color w:val="auto"/>
          <w:sz w:val="20"/>
          <w:szCs w:val="20"/>
          <w:lang w:eastAsia="cs-CZ"/>
        </w:rPr>
        <w:t xml:space="preserve"> veřejnou dopravu (Praha)</w:t>
      </w:r>
      <w:r w:rsidRPr="75B88526">
        <w:rPr>
          <w:rFonts w:eastAsiaTheme="minorEastAsia"/>
          <w:color w:val="auto"/>
          <w:sz w:val="20"/>
          <w:szCs w:val="20"/>
        </w:rPr>
        <w:t xml:space="preserve"> 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D10829" w14:paraId="22D8F892" w14:textId="77777777" w:rsidTr="75B88526"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27A7F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7A663" w14:textId="77777777" w:rsidR="00F91337" w:rsidRPr="00D10829" w:rsidRDefault="4E272D22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Nedostatek dobíjecí infrastruktury pro veřejnou dopravu (Praha)</w:t>
            </w:r>
          </w:p>
        </w:tc>
      </w:tr>
      <w:tr w:rsidR="00914682" w:rsidRPr="00D10829" w14:paraId="0A7B82BE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7D35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3439D" w14:textId="77777777" w:rsidR="00F91337" w:rsidRPr="0095286D" w:rsidRDefault="4E272D22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Navýšit počet </w:t>
            </w:r>
            <w:r w:rsidR="470D28E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na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bíjecích bodů o pro elektrobusy </w:t>
            </w:r>
            <w:r w:rsidR="0CAFD7AD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a bateriové trolejbusy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v Praze – </w:t>
            </w:r>
            <w:r w:rsidR="470D28E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o celkem 52 nabíjecích bodů</w:t>
            </w:r>
            <w:r w:rsidR="681140D5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="470D28E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a zvýšit počet km dynamického dobíjení pro bateriové trolejbusy o 10 km jednostopého trolejového vedení.</w:t>
            </w:r>
          </w:p>
        </w:tc>
      </w:tr>
      <w:tr w:rsidR="00914682" w:rsidRPr="00D10829" w14:paraId="17B70568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196B4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398B6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Dopravní podnik hlavního města Prahy</w:t>
            </w:r>
            <w:r w:rsidR="5A510727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– gesce hl. město Praha</w:t>
            </w:r>
          </w:p>
        </w:tc>
      </w:tr>
      <w:tr w:rsidR="00914682" w:rsidRPr="00D10829" w14:paraId="2328BA5B" w14:textId="77777777" w:rsidTr="75B88526">
        <w:trPr>
          <w:trHeight w:val="70"/>
        </w:trPr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66F37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Spolupráce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C898C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Dopravní podnik hlavního města Prahy, energetické společnosti, </w:t>
            </w:r>
            <w:r w:rsidR="46C7718B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14682" w:rsidRPr="00D10829" w14:paraId="3D93B16B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FDDE0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Překážky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6A042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Schvalovací procesy </w:t>
            </w:r>
          </w:p>
        </w:tc>
      </w:tr>
      <w:tr w:rsidR="00914682" w:rsidRPr="00D10829" w14:paraId="528F56C4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1CC27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F16EF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Uživatelé veřejné dopravy v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Praze </w:t>
            </w:r>
          </w:p>
        </w:tc>
      </w:tr>
      <w:tr w:rsidR="00914682" w:rsidRPr="00D10829" w14:paraId="58EE0E3F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DB047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22139" w14:textId="77777777" w:rsidR="00F91337" w:rsidRPr="00D10829" w:rsidRDefault="64681E0D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1200</w:t>
            </w:r>
            <w:r w:rsidR="53087C54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,0</w:t>
            </w:r>
            <w:r w:rsidR="1C2F83A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mil. Kč</w:t>
            </w:r>
          </w:p>
        </w:tc>
      </w:tr>
      <w:tr w:rsidR="00914682" w:rsidRPr="00D10829" w14:paraId="712EAB2E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FB1ED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A9059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="4E272D22" w:rsidRPr="75B88526">
              <w:rPr>
                <w:rFonts w:eastAsiaTheme="minorEastAsia"/>
                <w:color w:val="auto"/>
                <w:sz w:val="20"/>
                <w:szCs w:val="20"/>
                <w:shd w:val="clear" w:color="auto" w:fill="FFFFFF"/>
              </w:rPr>
              <w:t>MMR zatím nemá stanoveny podmínky za jakých bude podporovat dobíjecí/plnicí infrastrukturu v rámci IROP</w:t>
            </w:r>
          </w:p>
        </w:tc>
      </w:tr>
      <w:tr w:rsidR="00F91337" w:rsidRPr="00D10829" w14:paraId="65A959DA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B5ABE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0B435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4E272D22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2022-2026</w:t>
            </w:r>
            <w:r w:rsidR="3633F226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. Kdy se očekává dokončení (</w:t>
            </w:r>
            <w:r w:rsidR="3501A8B0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</w:t>
            </w:r>
            <w:r w:rsidR="4E272D22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). </w:t>
            </w:r>
          </w:p>
        </w:tc>
      </w:tr>
    </w:tbl>
    <w:p w14:paraId="049F31CB" w14:textId="77777777" w:rsidR="00F91337" w:rsidRPr="00D10829" w:rsidRDefault="00F91337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</w:p>
    <w:p w14:paraId="2A5DB47F" w14:textId="77777777" w:rsidR="00F91337" w:rsidRPr="00D10829" w:rsidRDefault="1C2F83AF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  <w:r w:rsidRPr="75B88526">
        <w:rPr>
          <w:rFonts w:eastAsiaTheme="minorEastAsia"/>
          <w:color w:val="auto"/>
          <w:sz w:val="20"/>
          <w:szCs w:val="20"/>
        </w:rPr>
        <w:t>1.</w:t>
      </w:r>
      <w:r w:rsidR="696FF93E" w:rsidRPr="75B88526">
        <w:rPr>
          <w:rFonts w:eastAsiaTheme="minorEastAsia"/>
          <w:color w:val="auto"/>
          <w:sz w:val="20"/>
          <w:szCs w:val="20"/>
        </w:rPr>
        <w:t>2</w:t>
      </w:r>
      <w:r w:rsidRPr="75B88526">
        <w:rPr>
          <w:rFonts w:eastAsiaTheme="minorEastAsia"/>
          <w:color w:val="auto"/>
          <w:sz w:val="20"/>
          <w:szCs w:val="20"/>
        </w:rPr>
        <w:t xml:space="preserve">. Budování neveřejné infrastruktury          </w:t>
      </w:r>
      <w:r w:rsidRPr="75B88526">
        <w:rPr>
          <w:rFonts w:eastAsiaTheme="minorEastAsia"/>
          <w:color w:val="auto"/>
          <w:sz w:val="23"/>
          <w:szCs w:val="23"/>
        </w:rPr>
        <w:t xml:space="preserve">                 </w:t>
      </w:r>
    </w:p>
    <w:tbl>
      <w:tblPr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7218"/>
      </w:tblGrid>
      <w:tr w:rsidR="00914682" w:rsidRPr="00D10829" w14:paraId="194B9602" w14:textId="77777777" w:rsidTr="75B88526"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4F8B9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0EF3B" w14:textId="77777777" w:rsidR="00F91337" w:rsidRPr="00D10829" w:rsidRDefault="4E272D22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Nedostatek neveřejné dobíjecí infrastruktury</w:t>
            </w:r>
          </w:p>
        </w:tc>
      </w:tr>
      <w:tr w:rsidR="00914682" w:rsidRPr="00D10829" w14:paraId="33671418" w14:textId="77777777" w:rsidTr="75B88526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D55BA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98654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Rozšíření počtu neveřejných dobíjecích bodů u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podnikatelů o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1 940 ks </w:t>
            </w:r>
          </w:p>
        </w:tc>
      </w:tr>
      <w:tr w:rsidR="00914682" w:rsidRPr="00D10829" w14:paraId="34D93550" w14:textId="77777777" w:rsidTr="75B88526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FD910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FB77F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Podnikatelské </w:t>
            </w:r>
            <w:r w:rsidR="5A510727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subjekty – gesce MPO</w:t>
            </w:r>
          </w:p>
        </w:tc>
      </w:tr>
      <w:tr w:rsidR="00914682" w:rsidRPr="00D10829" w14:paraId="5B645D40" w14:textId="77777777" w:rsidTr="75B88526">
        <w:trPr>
          <w:trHeight w:val="7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0AC4A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Spolupráce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374B4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Podnikatelské subjekty jako vlastníci dobíjecí infrastruktury,</w:t>
            </w:r>
            <w:r w:rsidR="3633F226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jejich elektromobily, firmy zabývající se výstavbou dobíjecích stanice</w:t>
            </w:r>
          </w:p>
        </w:tc>
      </w:tr>
      <w:tr w:rsidR="00914682" w:rsidRPr="00D10829" w14:paraId="23E5A247" w14:textId="77777777" w:rsidTr="75B88526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3071E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Překážky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72C90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Dlouhodobé schvalovací procesy výstavby, dlouhodobost připojení nových objektů do sítě</w:t>
            </w:r>
          </w:p>
        </w:tc>
      </w:tr>
      <w:tr w:rsidR="00914682" w:rsidRPr="00D10829" w14:paraId="3C8D827B" w14:textId="77777777" w:rsidTr="75B88526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E220D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4C831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="4E272D22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Podnikatelé</w:t>
            </w:r>
          </w:p>
        </w:tc>
      </w:tr>
      <w:tr w:rsidR="00914682" w:rsidRPr="00D10829" w14:paraId="42B53886" w14:textId="77777777" w:rsidTr="75B88526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29D19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lastRenderedPageBreak/>
              <w:t>Souhrnné náklady realizace financované z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231F0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300 mil. Kč  </w:t>
            </w:r>
          </w:p>
        </w:tc>
      </w:tr>
      <w:tr w:rsidR="00914682" w:rsidRPr="00D10829" w14:paraId="3D39301F" w14:textId="77777777" w:rsidTr="75B88526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21B45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CC75F" w14:textId="77777777" w:rsidR="00F91337" w:rsidRPr="00D10829" w:rsidRDefault="4E272D22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Podpora bude poskytována v režimu de minimis.</w:t>
            </w:r>
          </w:p>
        </w:tc>
      </w:tr>
      <w:tr w:rsidR="00F91337" w:rsidRPr="00D10829" w14:paraId="31F7776C" w14:textId="77777777" w:rsidTr="75B88526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305CA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26499" w14:textId="77777777" w:rsidR="00F91337" w:rsidRPr="00D10829" w:rsidRDefault="46C7718B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4E272D22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2022-2026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="3501A8B0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</w:t>
            </w:r>
            <w:r w:rsidR="4E272D22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14:paraId="53128261" w14:textId="77777777" w:rsidR="00F91337" w:rsidRDefault="00F91337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</w:p>
    <w:p w14:paraId="62486C05" w14:textId="77777777" w:rsidR="007A6F3C" w:rsidRDefault="007A6F3C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</w:p>
    <w:p w14:paraId="70118EBC" w14:textId="77777777" w:rsidR="00F91337" w:rsidRPr="00D10829" w:rsidRDefault="1C2F83AF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1.</w:t>
      </w:r>
      <w:r w:rsidR="696FF93E" w:rsidRPr="75B88526">
        <w:rPr>
          <w:rFonts w:eastAsiaTheme="minorEastAsia"/>
          <w:color w:val="auto"/>
          <w:sz w:val="20"/>
          <w:szCs w:val="20"/>
        </w:rPr>
        <w:t>3</w:t>
      </w:r>
      <w:r w:rsidRPr="75B88526">
        <w:rPr>
          <w:rFonts w:eastAsiaTheme="minorEastAsia"/>
          <w:color w:val="auto"/>
          <w:sz w:val="20"/>
          <w:szCs w:val="20"/>
        </w:rPr>
        <w:t>. Budování infrastruktury – dobíjecí stanic</w:t>
      </w:r>
      <w:r w:rsidR="14B8B5FC" w:rsidRPr="75B88526">
        <w:rPr>
          <w:rFonts w:eastAsiaTheme="minorEastAsia"/>
          <w:color w:val="auto"/>
          <w:sz w:val="20"/>
          <w:szCs w:val="20"/>
        </w:rPr>
        <w:t>e</w:t>
      </w:r>
      <w:r w:rsidRPr="75B88526">
        <w:rPr>
          <w:rFonts w:eastAsiaTheme="minorEastAsia"/>
          <w:color w:val="auto"/>
          <w:sz w:val="20"/>
          <w:szCs w:val="20"/>
        </w:rPr>
        <w:t xml:space="preserve"> pro obytné budovy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7215"/>
      </w:tblGrid>
      <w:tr w:rsidR="00914682" w:rsidRPr="00D10829" w14:paraId="68377865" w14:textId="77777777" w:rsidTr="75B88526"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BB0A8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DF290" w14:textId="77777777" w:rsidR="00F91337" w:rsidRPr="00D10829" w:rsidRDefault="4E272D22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Nedostatek dobíjecích stanic pro obytné budovy</w:t>
            </w:r>
          </w:p>
        </w:tc>
      </w:tr>
      <w:tr w:rsidR="00914682" w:rsidRPr="00D10829" w14:paraId="1EAAD6CF" w14:textId="77777777" w:rsidTr="75B88526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0F84E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739DE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Vybudování dobíjecích stanic u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obytných domů jak v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soukromých garážích, tak na souvisejících parkovacích místech. Rozšíření dobíjecí </w:t>
            </w:r>
            <w:r w:rsidR="2C7C759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infrastruktury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pro obytné budovy o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="2C7C759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2880</w:t>
            </w:r>
            <w:r w:rsidR="46C7718B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dobíjecích bodů</w:t>
            </w:r>
          </w:p>
        </w:tc>
      </w:tr>
      <w:tr w:rsidR="00914682" w:rsidRPr="00D10829" w14:paraId="15037AB5" w14:textId="77777777" w:rsidTr="75B88526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07792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D8301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Sdružení vlastníků bytů, majitelé obytných domů</w:t>
            </w:r>
            <w:r w:rsidR="5A510727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– gesce </w:t>
            </w:r>
            <w:r w:rsidR="1195E3C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MŽP</w:t>
            </w:r>
          </w:p>
        </w:tc>
      </w:tr>
      <w:tr w:rsidR="00914682" w:rsidRPr="00D10829" w14:paraId="55475B06" w14:textId="77777777" w:rsidTr="75B88526">
        <w:trPr>
          <w:trHeight w:val="645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3888F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Spolupráce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AAEEF" w14:textId="78614BFB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Sdružení vlastníků bytů, majitelé obytných domů, firmy budující dobíjecí infrastrukturu </w:t>
            </w:r>
          </w:p>
        </w:tc>
      </w:tr>
      <w:tr w:rsidR="00914682" w:rsidRPr="00D10829" w14:paraId="46C2D46A" w14:textId="77777777" w:rsidTr="75B88526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B94FD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Překážky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1FFDB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Dlouhodobé schvalovací procesy výstavby, dlouhodobost připojení nových objektů do sítě, Nutnost souhlasu všech vlastníků SVJ</w:t>
            </w:r>
          </w:p>
        </w:tc>
      </w:tr>
      <w:tr w:rsidR="00914682" w:rsidRPr="00D10829" w14:paraId="545F80C7" w14:textId="77777777" w:rsidTr="75B88526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8A491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FB984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Majitelé elektromobilů, žijící v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bytových domech, kteří budou moci dobíjet na neveřejných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poloveřejných dobíjecích stanicích</w:t>
            </w:r>
          </w:p>
        </w:tc>
      </w:tr>
      <w:tr w:rsidR="00914682" w:rsidRPr="00D10829" w14:paraId="78618137" w14:textId="77777777" w:rsidTr="75B88526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BDC12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C32C2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1</w:t>
            </w:r>
            <w:r w:rsidR="2C7C759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44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mil. Kč</w:t>
            </w:r>
          </w:p>
        </w:tc>
      </w:tr>
      <w:tr w:rsidR="00914682" w:rsidRPr="00D10829" w14:paraId="7AEA7770" w14:textId="77777777" w:rsidTr="75B88526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42EEF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A326" w14:textId="77777777" w:rsidR="00F91337" w:rsidRPr="00D10829" w:rsidRDefault="4E272D22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Bude poskytována v režimu de minimis.</w:t>
            </w:r>
          </w:p>
        </w:tc>
      </w:tr>
      <w:tr w:rsidR="00F91337" w:rsidRPr="00D10829" w14:paraId="3EF57B2E" w14:textId="77777777" w:rsidTr="75B88526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1B81B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3C3D5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4E272D22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2021-2026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="3501A8B0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</w:t>
            </w:r>
            <w:r w:rsidR="4E272D22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14:paraId="4101652C" w14:textId="77777777" w:rsidR="00F91337" w:rsidRPr="00D10829" w:rsidRDefault="00F91337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</w:p>
    <w:p w14:paraId="4B99056E" w14:textId="77777777" w:rsidR="00F91337" w:rsidRPr="00D10829" w:rsidRDefault="00F91337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</w:p>
    <w:p w14:paraId="393166DF" w14:textId="77777777" w:rsidR="00F91337" w:rsidRPr="00D10829" w:rsidRDefault="1C2F83AF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2.1. Podpora nákupu vozidel – </w:t>
      </w:r>
      <w:r w:rsidR="7B4DB326" w:rsidRPr="75B88526">
        <w:rPr>
          <w:rFonts w:eastAsiaTheme="minorEastAsia"/>
          <w:color w:val="auto"/>
          <w:sz w:val="20"/>
          <w:szCs w:val="20"/>
        </w:rPr>
        <w:t>v</w:t>
      </w:r>
      <w:r w:rsidRPr="75B88526">
        <w:rPr>
          <w:rFonts w:eastAsiaTheme="minorEastAsia"/>
          <w:color w:val="auto"/>
          <w:sz w:val="20"/>
          <w:szCs w:val="20"/>
        </w:rPr>
        <w:t xml:space="preserve">ozidla (el, H2) pro podnikatelské subjekty včetně E-cargokol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D10829" w14:paraId="0B39EDE2" w14:textId="77777777" w:rsidTr="75B88526"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B359E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2639D" w14:textId="77777777" w:rsidR="00F91337" w:rsidRPr="00D10829" w:rsidRDefault="358B5ED8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Malá penetrace vozidel na alternativní paliva u podnikatelských subjektů  </w:t>
            </w:r>
          </w:p>
        </w:tc>
      </w:tr>
      <w:tr w:rsidR="00914682" w:rsidRPr="00D10829" w14:paraId="1B374B83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2689E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7E3D5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Navýšení počtu vozidel na alternativní paliva u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podnikatelů o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="48FCBEA5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4 655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ks</w:t>
            </w:r>
          </w:p>
        </w:tc>
      </w:tr>
      <w:tr w:rsidR="00914682" w:rsidRPr="00D10829" w14:paraId="0F540E5E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C6944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E93E1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Podnikatelské subjekty</w:t>
            </w:r>
            <w:r w:rsidR="5A510727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– gesce MPO</w:t>
            </w:r>
          </w:p>
        </w:tc>
      </w:tr>
      <w:tr w:rsidR="00914682" w:rsidRPr="00D10829" w14:paraId="7892ACEA" w14:textId="77777777" w:rsidTr="75B88526">
        <w:trPr>
          <w:trHeight w:val="70"/>
        </w:trPr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A82B4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Spolupráce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F97D7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Podnikatelské subjekty, dopravci, prodejci vozidel, </w:t>
            </w:r>
          </w:p>
        </w:tc>
      </w:tr>
      <w:tr w:rsidR="00914682" w:rsidRPr="00D10829" w14:paraId="30090E2A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03F23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Překážky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905E1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Nedostatek vozidel na trhu, nutnost výběrového řízení  </w:t>
            </w:r>
          </w:p>
        </w:tc>
      </w:tr>
      <w:tr w:rsidR="00914682" w:rsidRPr="00D10829" w14:paraId="3EC7EBED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9D21F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8CF84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Podnikatelské subjekty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dopravci,</w:t>
            </w:r>
          </w:p>
        </w:tc>
      </w:tr>
      <w:tr w:rsidR="00914682" w:rsidRPr="00D10829" w14:paraId="599F06C0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EEFB9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27FE4" w14:textId="77777777" w:rsidR="00F91337" w:rsidRPr="00D10829" w:rsidRDefault="73F7F426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9</w:t>
            </w:r>
            <w:r w:rsidR="1195E3C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90</w:t>
            </w:r>
            <w:r w:rsidR="1C2F83A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mil. Kč </w:t>
            </w:r>
          </w:p>
        </w:tc>
      </w:tr>
      <w:tr w:rsidR="00914682" w:rsidRPr="00D10829" w14:paraId="0BB43787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3D922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lastRenderedPageBreak/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B6670" w14:textId="77777777" w:rsidR="00F91337" w:rsidRPr="00D10829" w:rsidRDefault="358B5ED8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Podpora se bude řídit podle článku 36 Nařízení Komise (EU) č.  651/2014 ze dne 17. června 2014, kterým se v souladu s články 107 a 108 Smlouvy prohlašují určité kategorie podpory za slučitelné s vnitřním trhem, případně bude poskytována v režimu de minimis.</w:t>
            </w:r>
          </w:p>
        </w:tc>
      </w:tr>
      <w:tr w:rsidR="00F91337" w:rsidRPr="00D10829" w14:paraId="1B18A591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D26DA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2C4E0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358B5ED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2021-2026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="3501A8B0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</w:t>
            </w:r>
            <w:r w:rsidR="358B5ED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14:paraId="1299C43A" w14:textId="77777777" w:rsidR="00F91337" w:rsidRPr="00D10829" w:rsidRDefault="00F91337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</w:p>
    <w:p w14:paraId="6F3073C1" w14:textId="77777777" w:rsidR="00F91337" w:rsidRPr="00D10829" w:rsidRDefault="1C2F83AF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 2.2. Podpora nákupu vozidel</w:t>
      </w:r>
      <w:r w:rsidR="73F7F426" w:rsidRPr="75B88526">
        <w:rPr>
          <w:rFonts w:eastAsiaTheme="minorEastAsia"/>
          <w:color w:val="auto"/>
          <w:sz w:val="20"/>
          <w:szCs w:val="20"/>
        </w:rPr>
        <w:t xml:space="preserve"> (el. H2) a </w:t>
      </w:r>
      <w:r w:rsidR="73F7F426" w:rsidRPr="75B88526">
        <w:rPr>
          <w:rFonts w:eastAsiaTheme="minorEastAsia"/>
          <w:sz w:val="20"/>
          <w:szCs w:val="20"/>
        </w:rPr>
        <w:t>neveřejné dobíjecí infrastruktury</w:t>
      </w:r>
      <w:r w:rsidRPr="75B88526">
        <w:rPr>
          <w:rFonts w:eastAsiaTheme="minorEastAsia"/>
          <w:color w:val="auto"/>
          <w:sz w:val="20"/>
          <w:szCs w:val="20"/>
        </w:rPr>
        <w:t xml:space="preserve">pro </w:t>
      </w:r>
      <w:bookmarkStart w:id="15" w:name="_Hlk59025889"/>
      <w:r w:rsidRPr="75B88526">
        <w:rPr>
          <w:rFonts w:eastAsiaTheme="minorEastAsia"/>
          <w:color w:val="auto"/>
          <w:sz w:val="20"/>
          <w:szCs w:val="20"/>
        </w:rPr>
        <w:t>obce, kraje, státní správu</w:t>
      </w:r>
      <w:bookmarkEnd w:id="15"/>
      <w:r w:rsidRPr="75B88526">
        <w:rPr>
          <w:rFonts w:eastAsiaTheme="minorEastAsia"/>
          <w:color w:val="auto"/>
          <w:sz w:val="20"/>
          <w:szCs w:val="20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D10829" w14:paraId="44241755" w14:textId="77777777" w:rsidTr="75B88526"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20533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E2B99" w14:textId="77777777" w:rsidR="00F91337" w:rsidRPr="00D10829" w:rsidRDefault="358B5ED8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Navýšit vozový park na alternativní paliva obce, kraje, státní správu splnit povinné podíly při pořizovaní nových vozidel  </w:t>
            </w:r>
          </w:p>
        </w:tc>
      </w:tr>
      <w:tr w:rsidR="00914682" w:rsidRPr="00D10829" w14:paraId="562CF667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FBBF0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0C41D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Navýšení počtu vozidel u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="5BACE44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obcí, krajů, státní </w:t>
            </w:r>
            <w:r w:rsidR="201B6DFD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správy</w:t>
            </w:r>
            <w:r w:rsidR="5BACE44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o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="7373BD8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1 485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vozidel</w:t>
            </w:r>
            <w:r w:rsidR="7373BD8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a navýšení počtu neveřejných dobíjecích stanic u </w:t>
            </w:r>
            <w:r w:rsidR="7373BD8A" w:rsidRPr="75B88526">
              <w:rPr>
                <w:rFonts w:eastAsiaTheme="minorEastAsia"/>
                <w:color w:val="auto"/>
                <w:sz w:val="20"/>
                <w:szCs w:val="20"/>
              </w:rPr>
              <w:t>obcí, krajů, státní správy</w:t>
            </w:r>
            <w:r w:rsidR="7373BD8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a jimi zřízených institucí o 200 ks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14682" w:rsidRPr="00D10829" w14:paraId="17310E11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B3E47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16DB7" w14:textId="77777777" w:rsidR="00F91337" w:rsidRPr="00D10829" w:rsidRDefault="0EDAB616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Obce, kraje, státní správa</w:t>
            </w:r>
            <w:r w:rsidR="1C2F83A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="5A510727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– gesce MŽP</w:t>
            </w:r>
          </w:p>
        </w:tc>
      </w:tr>
      <w:tr w:rsidR="00914682" w:rsidRPr="00D10829" w14:paraId="3E99D1C2" w14:textId="77777777" w:rsidTr="75B88526">
        <w:trPr>
          <w:trHeight w:val="70"/>
        </w:trPr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8AEB7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Spolupráce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1718F" w14:textId="77777777" w:rsidR="00F91337" w:rsidRPr="00D10829" w:rsidRDefault="0EDAB616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Obce, kraje, státní správa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="1C2F83A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="1C2F83A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jim podřízení organizace, prodejci vozidel</w:t>
            </w:r>
          </w:p>
        </w:tc>
      </w:tr>
      <w:tr w:rsidR="00914682" w:rsidRPr="00D10829" w14:paraId="3C579581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1E511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Překážky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761E3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Po coronavirové krizi výrazný pokles příjmů obcí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krajů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nutnost seškrtávání investic do obnovy vozového parku, zdlouhavost veřejné zakázky, nedostatek vozidel u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prodej</w:t>
            </w:r>
            <w:r w:rsidR="3097E1B1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ů.  </w:t>
            </w:r>
          </w:p>
        </w:tc>
      </w:tr>
      <w:tr w:rsidR="00914682" w:rsidRPr="00D10829" w14:paraId="3DF015E3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DF336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B8A41" w14:textId="77777777" w:rsidR="00F91337" w:rsidRPr="00D10829" w:rsidRDefault="0EDAB616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Obce, kraje, státní správa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  <w:r w:rsidR="1C2F83A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a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="1C2F83AF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jim podřízení organizace, prodejci vozidel</w:t>
            </w:r>
          </w:p>
        </w:tc>
      </w:tr>
      <w:tr w:rsidR="00914682" w:rsidRPr="00D10829" w14:paraId="2789876F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58257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9E884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600 mil. Kč </w:t>
            </w:r>
          </w:p>
        </w:tc>
      </w:tr>
      <w:tr w:rsidR="00914682" w:rsidRPr="00D10829" w14:paraId="5E1C2FA1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62E22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0575B" w14:textId="77777777" w:rsidR="00307D70" w:rsidRPr="00D10829" w:rsidRDefault="358B5ED8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Nařízení Komise (EU) č. 651/2014 ze dne 17. 6. 2014, kterým se v souladu s články 107 a 108 Smlouvy prohlašují určité kategorie podpory za slučitelné s vnitřním trhem (podle dle relevantních článků, zejména čl. 36);  </w:t>
            </w:r>
          </w:p>
          <w:p w14:paraId="0B6E1B35" w14:textId="77777777" w:rsidR="00307D70" w:rsidRPr="00D10829" w:rsidRDefault="358B5ED8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Nařízení Komise (EU) č. 1407/2013 ze dne 18. 12. 2013, o použití článků 107 a 108 Smlouvy o fungování Evropské unie na podporu de minimis</w:t>
            </w:r>
            <w:r w:rsidR="0837E8B1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;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 </w:t>
            </w:r>
          </w:p>
          <w:p w14:paraId="7718077E" w14:textId="77777777" w:rsidR="00307D70" w:rsidRPr="00D10829" w:rsidRDefault="358B5ED8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Rozhodnutí Komise ze dne 20. prosince 2011 o použití čl. 106 odst. 2</w:t>
            </w:r>
            <w:r w:rsidR="3633F226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Smlouvy o fungování Evropské unie na státní podporu ve formě vyrovnávací platby za závazek veřejné služby udělené určitým podnikům pověřeným poskytováním služeb obecného hospodářského zájmu;  </w:t>
            </w:r>
          </w:p>
          <w:p w14:paraId="1128FF9E" w14:textId="77777777" w:rsidR="00F91337" w:rsidRPr="00D10829" w:rsidRDefault="358B5ED8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Nařízení Komise (EU) č. 360/2012 ze dne 25. dubna 2012 o použití článků 107 a 108 Smlouvy o fungování Evropské unie na podporu de minimis udílenou podnikům poskytujícím služby obecného hospodářského zájmu.</w:t>
            </w:r>
          </w:p>
        </w:tc>
      </w:tr>
      <w:tr w:rsidR="00F91337" w:rsidRPr="00D10829" w14:paraId="3B50D5C8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B5D1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2C08B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358B5ED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2021-2026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="3501A8B0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202</w:t>
            </w:r>
            <w:r w:rsidR="358B5ED8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6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14:paraId="4DDBEF00" w14:textId="77777777" w:rsidR="00F91337" w:rsidRPr="00D10829" w:rsidRDefault="00F91337" w:rsidP="75B88526">
      <w:pPr>
        <w:spacing w:after="120" w:line="240" w:lineRule="auto"/>
        <w:rPr>
          <w:rFonts w:eastAsiaTheme="minorEastAsia"/>
          <w:color w:val="auto"/>
          <w:sz w:val="23"/>
          <w:szCs w:val="23"/>
        </w:rPr>
      </w:pPr>
    </w:p>
    <w:p w14:paraId="77DB233B" w14:textId="77777777" w:rsidR="00F91337" w:rsidRDefault="1C2F83AF" w:rsidP="75B88526">
      <w:pPr>
        <w:spacing w:after="120" w:line="240" w:lineRule="auto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 xml:space="preserve">2.3. Podpora nákupu vozidel – </w:t>
      </w:r>
      <w:r w:rsidR="7B4DB326" w:rsidRPr="75B88526">
        <w:rPr>
          <w:rFonts w:eastAsiaTheme="minorEastAsia"/>
          <w:color w:val="auto"/>
          <w:sz w:val="20"/>
          <w:szCs w:val="20"/>
        </w:rPr>
        <w:t xml:space="preserve">vozidla </w:t>
      </w:r>
      <w:r w:rsidRPr="75B88526">
        <w:rPr>
          <w:rFonts w:eastAsiaTheme="minorEastAsia"/>
          <w:color w:val="auto"/>
          <w:sz w:val="20"/>
          <w:szCs w:val="20"/>
        </w:rPr>
        <w:t>(</w:t>
      </w:r>
      <w:r w:rsidR="681140D5" w:rsidRPr="75B88526">
        <w:rPr>
          <w:rFonts w:eastAsiaTheme="minorEastAsia"/>
          <w:color w:val="auto"/>
          <w:sz w:val="20"/>
          <w:szCs w:val="20"/>
        </w:rPr>
        <w:t xml:space="preserve">bateriové trolejbusy a nízkopodlažní tramvaje </w:t>
      </w:r>
      <w:r w:rsidRPr="75B88526">
        <w:rPr>
          <w:rFonts w:eastAsiaTheme="minorEastAsia"/>
          <w:color w:val="auto"/>
          <w:sz w:val="20"/>
          <w:szCs w:val="20"/>
        </w:rPr>
        <w:t>pro veřejnou hromadnou dopravu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Hlavním městě Praha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D10829" w14:paraId="09B7BB20" w14:textId="77777777" w:rsidTr="75B88526"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A5BB3" w14:textId="77777777" w:rsidR="00F91337" w:rsidRPr="00D10829" w:rsidRDefault="1C2F83AF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C49F5" w14:textId="77777777" w:rsidR="00F91337" w:rsidRPr="00D10829" w:rsidRDefault="1C2F83AF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Podpora nákupu vozidel – </w:t>
            </w:r>
            <w:r w:rsidR="7B4DB326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vozidla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(</w:t>
            </w:r>
            <w:r w:rsidR="5A510727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elektrobusy, bateriové trolejbusy a hybridní autobusy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pro veřejnou hromadnou dopravu v</w:t>
            </w:r>
            <w:r w:rsidR="2B7D270A"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 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Hlavním městě Praha</w:t>
            </w:r>
          </w:p>
        </w:tc>
      </w:tr>
      <w:tr w:rsidR="0095286D" w:rsidRPr="00D10829" w14:paraId="215BB6C8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CAC5C" w14:textId="77777777" w:rsidR="0095286D" w:rsidRPr="00D10829" w:rsidRDefault="2C667719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F773C" w14:textId="77777777" w:rsidR="0095286D" w:rsidRPr="00D10829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Navýšení počtu bateriových trolejbusů a nízkopodlažních tramvají o 40 ks </w:t>
            </w:r>
          </w:p>
        </w:tc>
      </w:tr>
      <w:tr w:rsidR="0095286D" w:rsidRPr="00D10829" w14:paraId="7D9D138E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BE050" w14:textId="77777777" w:rsidR="0095286D" w:rsidRPr="00D10829" w:rsidRDefault="2C667719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C442B" w14:textId="77777777" w:rsidR="0095286D" w:rsidRPr="00D10829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Dopravní podnik hlavního města Prahy – gesce hl. město Praha</w:t>
            </w:r>
          </w:p>
        </w:tc>
      </w:tr>
      <w:tr w:rsidR="0095286D" w:rsidRPr="00D10829" w14:paraId="194D8C73" w14:textId="77777777" w:rsidTr="75B88526">
        <w:trPr>
          <w:trHeight w:val="70"/>
        </w:trPr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2E6D8" w14:textId="77777777" w:rsidR="0095286D" w:rsidRPr="00D10829" w:rsidRDefault="2C667719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lastRenderedPageBreak/>
              <w:t>Spolupráce a 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A9B53" w14:textId="77777777" w:rsidR="0095286D" w:rsidRPr="00D10829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Dopravní podnik hlavního města Prahy, prodejci autobusů</w:t>
            </w:r>
          </w:p>
        </w:tc>
      </w:tr>
      <w:tr w:rsidR="0095286D" w:rsidRPr="00D10829" w14:paraId="2741044A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CD9D7" w14:textId="77777777" w:rsidR="0095286D" w:rsidRPr="00D10829" w:rsidRDefault="2C667719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Překážky a 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FFA93" w14:textId="77777777" w:rsidR="0095286D" w:rsidRPr="00D10829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Zdlouhavost výběrových řízení, nedostatek vozidel </w:t>
            </w:r>
          </w:p>
        </w:tc>
      </w:tr>
      <w:tr w:rsidR="0095286D" w:rsidRPr="00D10829" w14:paraId="4C18AFDE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5955C" w14:textId="77777777" w:rsidR="0095286D" w:rsidRPr="00D10829" w:rsidRDefault="2C667719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Cílové skupiny populace a 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6B04F" w14:textId="77777777" w:rsidR="0095286D" w:rsidRPr="00D10829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5286D" w:rsidRPr="00D10829" w14:paraId="2EC2782D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C2C37" w14:textId="77777777" w:rsidR="0095286D" w:rsidRPr="00D10829" w:rsidRDefault="2C667719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Souhrnné náklady realizace financované z 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45C13" w14:textId="77777777" w:rsidR="0095286D" w:rsidRPr="00D10829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1 700 mil. Kč. </w:t>
            </w:r>
          </w:p>
        </w:tc>
      </w:tr>
      <w:tr w:rsidR="0095286D" w:rsidRPr="00D10829" w14:paraId="409F94DB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BE5F5" w14:textId="77777777" w:rsidR="0095286D" w:rsidRPr="00D10829" w:rsidRDefault="2C667719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C991A" w14:textId="77777777" w:rsidR="0095286D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1. Všechna pořizovaná vozidla musí mít perspektivní využití v přepravě cestujících po celou dobu životnosti vozidla a pořizovací investiční náklady musí být omezeny na nezbytné minimum na základě transparentního a otevřeného výběrového/zadávacího řízení podle platné legislativy. </w:t>
            </w:r>
          </w:p>
          <w:p w14:paraId="7BCC0BE8" w14:textId="77777777" w:rsidR="0095286D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2. Žadatel musí mít při podání žádosti o podporu platnou a plněnou smlouvu o veřejných službách v přepravě cestujících v souladu s nařízením č. 1370/2007 a s příslušnými ustanoveními zákona č. 194/2010 Sb., nebo smlouvu o smlouvě budoucí o veřejných službách. Pokud nebyla smlouva ke dni podání žádosti uzavřena, musí žadatel předložit vyjádření objednatele o úmyslu smlouvu o veřejných službách s žadatelem uzavřít. Současné platné smlouvy podle nařízení Rady (EHS) č. 1191/69 a č. 1107/70 musí být uzavřené v souladu s článkem 8 nařízení 1370/2007 odst. </w:t>
            </w:r>
          </w:p>
          <w:p w14:paraId="00678FA3" w14:textId="77777777" w:rsidR="0095286D" w:rsidRPr="00D10829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 xml:space="preserve">3. Smlouvy o veřejných službách musí být uzavřeny na základě transparentního a otevřeného výběrového/zadávacího řízení či na základě přímého zadání podle platné legislativy, nejméně však do konce doby udržitelnosti projektu (5 let).  </w:t>
            </w:r>
          </w:p>
        </w:tc>
      </w:tr>
      <w:tr w:rsidR="0095286D" w:rsidRPr="00D10829" w14:paraId="52508A63" w14:textId="77777777" w:rsidTr="75B88526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94EED" w14:textId="77777777" w:rsidR="0095286D" w:rsidRPr="00D10829" w:rsidRDefault="2C667719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C2018" w14:textId="77777777" w:rsidR="0095286D" w:rsidRPr="00D10829" w:rsidRDefault="2C667719" w:rsidP="75B88526">
            <w:pPr>
              <w:spacing w:after="120" w:line="240" w:lineRule="auto"/>
              <w:jc w:val="both"/>
              <w:rPr>
                <w:rFonts w:eastAsiaTheme="minorEastAsia"/>
                <w:color w:val="auto"/>
                <w:sz w:val="20"/>
                <w:szCs w:val="20"/>
                <w:lang w:eastAsia="cs-CZ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  <w:lang w:eastAsia="cs-CZ"/>
              </w:rPr>
              <w:t>Plánovaná doba realizace (2021-2026). Kdy se očekává dokončení (2026).</w:t>
            </w:r>
          </w:p>
        </w:tc>
      </w:tr>
    </w:tbl>
    <w:p w14:paraId="3461D779" w14:textId="77777777" w:rsidR="00CB734D" w:rsidRPr="00D10829" w:rsidRDefault="00CB734D" w:rsidP="75B88526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</w:pPr>
    </w:p>
    <w:p w14:paraId="6F1E3978" w14:textId="6ABC7C86" w:rsidR="421F9075" w:rsidRDefault="421F9075">
      <w:r w:rsidRPr="75B88526">
        <w:rPr>
          <w:rFonts w:ascii="Calibri" w:eastAsia="Calibri" w:hAnsi="Calibri" w:cs="Calibri"/>
          <w:b/>
          <w:bCs/>
          <w:sz w:val="20"/>
          <w:szCs w:val="20"/>
        </w:rPr>
        <w:t>4. Strategická autonomie a bezpečnostní problematika</w:t>
      </w:r>
    </w:p>
    <w:p w14:paraId="3F9CE130" w14:textId="329C945A" w:rsidR="75B88526" w:rsidRDefault="75B88526" w:rsidP="75B88526">
      <w:pPr>
        <w:pStyle w:val="paragraph"/>
        <w:spacing w:before="0" w:beforeAutospacing="0" w:after="120" w:afterAutospacing="0"/>
        <w:ind w:firstLine="708"/>
        <w:rPr>
          <w:rStyle w:val="normaltextrun"/>
          <w:b/>
          <w:bCs/>
        </w:rPr>
      </w:pPr>
    </w:p>
    <w:p w14:paraId="0D8DEC70" w14:textId="77777777" w:rsidR="00CB734D" w:rsidRPr="00D10829" w:rsidRDefault="3097E1B1" w:rsidP="75B88526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5. </w:t>
      </w:r>
      <w:r w:rsidRPr="75B88526">
        <w:rPr>
          <w:rStyle w:val="tabchar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Přeshraniční projekty a projekty realizované více státy</w:t>
      </w:r>
      <w:r w:rsidRPr="75B88526">
        <w:rPr>
          <w:rStyle w:val="eop"/>
          <w:rFonts w:asciiTheme="minorHAnsi" w:eastAsiaTheme="minorEastAsia" w:hAnsiTheme="minorHAnsi" w:cstheme="minorBidi"/>
          <w:b/>
          <w:bCs/>
          <w:sz w:val="20"/>
          <w:szCs w:val="20"/>
        </w:rPr>
        <w:t> </w:t>
      </w:r>
    </w:p>
    <w:p w14:paraId="7A7B600A" w14:textId="77777777" w:rsidR="00CB734D" w:rsidRPr="00D10829" w:rsidRDefault="3097E1B1" w:rsidP="75B88526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eastAsiaTheme="minorEastAsia" w:hAnsiTheme="minorHAnsi" w:cstheme="minorBidi"/>
          <w:sz w:val="20"/>
          <w:szCs w:val="20"/>
        </w:rPr>
      </w:pPr>
      <w:bookmarkStart w:id="16" w:name="_Hlk66481710"/>
      <w:r w:rsidRPr="75B88526">
        <w:rPr>
          <w:rStyle w:val="eop"/>
          <w:rFonts w:asciiTheme="minorHAnsi" w:eastAsiaTheme="minorEastAsia" w:hAnsiTheme="minorHAnsi" w:cstheme="minorBidi"/>
          <w:sz w:val="20"/>
          <w:szCs w:val="20"/>
        </w:rPr>
        <w:t>Není relevantní k této komponentě.</w:t>
      </w:r>
    </w:p>
    <w:bookmarkEnd w:id="16"/>
    <w:p w14:paraId="5DD8C3EA" w14:textId="76E0FC00" w:rsidR="75B88526" w:rsidRDefault="75B88526" w:rsidP="75B88526">
      <w:pPr>
        <w:pStyle w:val="K-Nadpis2"/>
        <w:spacing w:before="0" w:after="120" w:line="240" w:lineRule="auto"/>
        <w:rPr>
          <w:rFonts w:asciiTheme="minorHAnsi" w:eastAsiaTheme="minorEastAsia" w:hAnsiTheme="minorHAnsi" w:cstheme="minorBidi"/>
          <w:color w:val="auto"/>
          <w:sz w:val="20"/>
          <w:szCs w:val="20"/>
        </w:rPr>
      </w:pPr>
    </w:p>
    <w:p w14:paraId="550C2A94" w14:textId="6F2C9CB5" w:rsidR="00F1576D" w:rsidRPr="00D10829" w:rsidRDefault="3097E1B1" w:rsidP="75B88526">
      <w:pPr>
        <w:pStyle w:val="K-Nadpis2"/>
        <w:spacing w:before="0" w:after="120" w:line="240" w:lineRule="auto"/>
        <w:rPr>
          <w:bCs/>
        </w:rPr>
      </w:pP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6.</w:t>
      </w:r>
      <w:r w:rsidR="1BACE4C4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Zelen</w:t>
      </w:r>
      <w:r w:rsidR="1506B0E0"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>ý</w:t>
      </w:r>
      <w:r w:rsidRPr="75B88526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  <w:r w:rsidR="0334C9F3" w:rsidRPr="75B88526">
        <w:rPr>
          <w:rFonts w:ascii="Calibri" w:eastAsia="Calibri" w:hAnsi="Calibri" w:cs="Calibri"/>
          <w:sz w:val="20"/>
          <w:szCs w:val="20"/>
        </w:rPr>
        <w:t>rozměr komponenty</w:t>
      </w:r>
    </w:p>
    <w:p w14:paraId="27A7D5A5" w14:textId="77777777" w:rsidR="003A12B0" w:rsidRPr="00D10829" w:rsidRDefault="4AB8D8F5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Aktualizovaný Národní program snižování emisí ČR (dále jen „NPSE“) obsahuje projekci emisí znečisťujících látek z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jednotlivých sektorů (energetika, průmysl, doprava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zemědělství) do konce roku 2030. Emisní projekce je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NPSE provedena za účelem zjištěni plnění národních závazků ke snížení emisí stanovených pro roky 2020, 2025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2030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souladu se směrnicí Evropského parlamentu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Rady (EU) 2016/2284 ze dne 14. prosince 2016 o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snížení národních emisí některých látek znečišťujících ovzduší. Projekce emisí znečisťujících látek vychází ze spotřeby jednotlivých druhů paliv dle návrhu Vnitrostátního plánu ČR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oblasti energetiky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klimatu.  </w:t>
      </w:r>
    </w:p>
    <w:p w14:paraId="31D413C5" w14:textId="77777777" w:rsidR="003A12B0" w:rsidRPr="00D10829" w:rsidRDefault="4AB8D8F5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Z provedené emisní projekce vyplývá, že Česká republika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roce 2030 nesplní národní závazky ve snížení emisí pro NOx, VOC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NH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3</w:t>
      </w:r>
      <w:r w:rsidRPr="75B88526">
        <w:rPr>
          <w:rFonts w:eastAsiaTheme="minorEastAsia"/>
          <w:color w:val="auto"/>
          <w:sz w:val="20"/>
          <w:szCs w:val="20"/>
        </w:rPr>
        <w:t>. Z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tohoto důvodu stanoví NPSE dodatečná opatření, která zajistí, že národní závazky budou splněny.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sektoru dopravy požaduje NPSE snížit k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roku 2030 emise NOx o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dodatečných 5kt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porovnání se scénářem NPSE WM. Opatření, která mají zajistit splnění tohoto cíle, mají být dle schváleného usnesení vlády č. 917/2019 k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NPSE obsažena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Analýze zpoplatnění vozidel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České republice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v Aktualizaci Národního akčního plánu čisté mobility. </w:t>
      </w:r>
    </w:p>
    <w:p w14:paraId="23B5231A" w14:textId="77777777" w:rsidR="003A12B0" w:rsidRPr="00D10829" w:rsidRDefault="4AB8D8F5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Níže uvedená tabulka shrnuje přínos Aktualizace Národního akčního plánu čisté mobility</w:t>
      </w:r>
      <w:r w:rsidR="7737107F" w:rsidRPr="75B88526">
        <w:rPr>
          <w:rFonts w:eastAsiaTheme="minorEastAsia"/>
          <w:color w:val="auto"/>
          <w:sz w:val="20"/>
          <w:szCs w:val="20"/>
        </w:rPr>
        <w:t xml:space="preserve">, </w:t>
      </w:r>
      <w:r w:rsidRPr="75B88526">
        <w:rPr>
          <w:rFonts w:eastAsiaTheme="minorEastAsia"/>
          <w:color w:val="auto"/>
          <w:sz w:val="20"/>
          <w:szCs w:val="20"/>
        </w:rPr>
        <w:t>ke splnění požadovaného snížení emisí NO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x</w:t>
      </w:r>
      <w:r w:rsidR="7737107F" w:rsidRPr="75B88526">
        <w:rPr>
          <w:rFonts w:eastAsiaTheme="minorEastAsia"/>
          <w:color w:val="auto"/>
          <w:sz w:val="20"/>
          <w:szCs w:val="20"/>
        </w:rPr>
        <w:t xml:space="preserve">, </w:t>
      </w:r>
      <w:bookmarkStart w:id="17" w:name="_Hlk58413069"/>
      <w:r w:rsidR="4194E152" w:rsidRPr="75B88526">
        <w:rPr>
          <w:rFonts w:eastAsiaTheme="minorEastAsia"/>
          <w:color w:val="auto"/>
          <w:sz w:val="20"/>
          <w:szCs w:val="20"/>
        </w:rPr>
        <w:t>ze kterého vychází komponenta čistá mobilita.</w:t>
      </w:r>
      <w:r w:rsidRPr="75B88526">
        <w:rPr>
          <w:rFonts w:eastAsiaTheme="minorEastAsia"/>
          <w:color w:val="auto"/>
          <w:sz w:val="20"/>
          <w:szCs w:val="20"/>
        </w:rPr>
        <w:t xml:space="preserve"> </w:t>
      </w:r>
      <w:bookmarkEnd w:id="17"/>
    </w:p>
    <w:p w14:paraId="6E27CC28" w14:textId="77777777" w:rsidR="003A12B0" w:rsidRPr="00D10829" w:rsidRDefault="4AB8D8F5" w:rsidP="75B88526">
      <w:pPr>
        <w:pStyle w:val="Titulek"/>
        <w:spacing w:before="0" w:after="120"/>
        <w:rPr>
          <w:rFonts w:asciiTheme="minorHAnsi" w:eastAsiaTheme="minorEastAsia" w:hAnsiTheme="minorHAnsi" w:cstheme="minorBidi"/>
          <w:b w:val="0"/>
          <w:bCs w:val="0"/>
          <w:sz w:val="20"/>
        </w:rPr>
      </w:pPr>
      <w:bookmarkStart w:id="18" w:name="_Toc34298576"/>
      <w:r w:rsidRPr="75B88526">
        <w:rPr>
          <w:rFonts w:asciiTheme="minorHAnsi" w:eastAsiaTheme="minorEastAsia" w:hAnsiTheme="minorHAnsi" w:cstheme="minorBidi"/>
          <w:sz w:val="20"/>
        </w:rPr>
        <w:t>Tabulka</w:t>
      </w:r>
      <w:r w:rsidR="4194E152" w:rsidRPr="75B88526">
        <w:rPr>
          <w:rFonts w:asciiTheme="minorHAnsi" w:eastAsiaTheme="minorEastAsia" w:hAnsiTheme="minorHAnsi" w:cstheme="minorBidi"/>
          <w:sz w:val="20"/>
        </w:rPr>
        <w:t xml:space="preserve">: </w:t>
      </w:r>
      <w:r w:rsidRPr="75B88526">
        <w:rPr>
          <w:rFonts w:asciiTheme="minorHAnsi" w:eastAsiaTheme="minorEastAsia" w:hAnsiTheme="minorHAnsi" w:cstheme="minorBidi"/>
          <w:sz w:val="20"/>
        </w:rPr>
        <w:t>Přínos NAP ČM k</w:t>
      </w:r>
      <w:r w:rsidR="2B7D270A" w:rsidRPr="75B88526">
        <w:rPr>
          <w:rFonts w:asciiTheme="minorHAnsi" w:eastAsiaTheme="minorEastAsia" w:hAnsiTheme="minorHAnsi" w:cstheme="minorBidi"/>
          <w:sz w:val="20"/>
        </w:rPr>
        <w:t> </w:t>
      </w:r>
      <w:r w:rsidRPr="75B88526">
        <w:rPr>
          <w:rFonts w:asciiTheme="minorHAnsi" w:eastAsiaTheme="minorEastAsia" w:hAnsiTheme="minorHAnsi" w:cstheme="minorBidi"/>
          <w:sz w:val="20"/>
        </w:rPr>
        <w:t>dodatečnému snížení emisí NO</w:t>
      </w:r>
      <w:r w:rsidRPr="75B88526">
        <w:rPr>
          <w:rFonts w:asciiTheme="minorHAnsi" w:eastAsiaTheme="minorEastAsia" w:hAnsiTheme="minorHAnsi" w:cstheme="minorBidi"/>
          <w:sz w:val="20"/>
          <w:vertAlign w:val="subscript"/>
        </w:rPr>
        <w:t>x</w:t>
      </w:r>
      <w:r w:rsidRPr="75B88526">
        <w:rPr>
          <w:rFonts w:asciiTheme="minorHAnsi" w:eastAsiaTheme="minorEastAsia" w:hAnsiTheme="minorHAnsi" w:cstheme="minorBidi"/>
          <w:sz w:val="20"/>
        </w:rPr>
        <w:t xml:space="preserve"> požadovaného NPSE v</w:t>
      </w:r>
      <w:r w:rsidR="2B7D270A" w:rsidRPr="75B88526">
        <w:rPr>
          <w:rFonts w:asciiTheme="minorHAnsi" w:eastAsiaTheme="minorEastAsia" w:hAnsiTheme="minorHAnsi" w:cstheme="minorBidi"/>
          <w:sz w:val="20"/>
        </w:rPr>
        <w:t> </w:t>
      </w:r>
      <w:r w:rsidRPr="75B88526">
        <w:rPr>
          <w:rFonts w:asciiTheme="minorHAnsi" w:eastAsiaTheme="minorEastAsia" w:hAnsiTheme="minorHAnsi" w:cstheme="minorBidi"/>
          <w:sz w:val="20"/>
        </w:rPr>
        <w:t>roce 2030</w:t>
      </w:r>
      <w:bookmarkEnd w:id="18"/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24"/>
        <w:gridCol w:w="1540"/>
        <w:gridCol w:w="1360"/>
        <w:gridCol w:w="1540"/>
        <w:gridCol w:w="1480"/>
      </w:tblGrid>
      <w:tr w:rsidR="00914682" w:rsidRPr="00D10829" w14:paraId="590E8B1A" w14:textId="77777777" w:rsidTr="75B88526">
        <w:trPr>
          <w:trHeight w:val="3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9B6A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Druh vozidla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9E52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Počet vozidel dle scénáře NPSE WM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9B65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Počet vozidel dle NAP ČM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5647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Úspora emisí NO</w:t>
            </w:r>
            <w:r w:rsidRPr="75B88526">
              <w:rPr>
                <w:rFonts w:eastAsiaTheme="minorEastAsia"/>
                <w:color w:val="auto"/>
                <w:sz w:val="20"/>
                <w:szCs w:val="20"/>
                <w:vertAlign w:val="subscript"/>
              </w:rPr>
              <w:t>x</w:t>
            </w:r>
            <w:r w:rsidRPr="75B88526">
              <w:rPr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75B88526">
              <w:rPr>
                <w:rFonts w:eastAsiaTheme="minorEastAsia"/>
                <w:color w:val="auto"/>
                <w:sz w:val="20"/>
                <w:szCs w:val="20"/>
                <w:lang w:val="de-DE"/>
              </w:rPr>
              <w:t>[</w:t>
            </w:r>
            <w:r w:rsidRPr="75B88526">
              <w:rPr>
                <w:rFonts w:eastAsiaTheme="minorEastAsia"/>
                <w:color w:val="auto"/>
                <w:sz w:val="20"/>
                <w:szCs w:val="20"/>
              </w:rPr>
              <w:t>t/rok]*</w:t>
            </w:r>
          </w:p>
        </w:tc>
      </w:tr>
      <w:tr w:rsidR="00914682" w:rsidRPr="00D10829" w14:paraId="60B13C71" w14:textId="77777777" w:rsidTr="75B88526">
        <w:trPr>
          <w:trHeight w:val="615"/>
        </w:trPr>
        <w:tc>
          <w:tcPr>
            <w:tcW w:w="1696" w:type="dxa"/>
            <w:vMerge/>
            <w:vAlign w:val="center"/>
            <w:hideMark/>
          </w:tcPr>
          <w:p w14:paraId="3CF2D8B6" w14:textId="77777777" w:rsidR="003A12B0" w:rsidRPr="00D10829" w:rsidRDefault="003A12B0" w:rsidP="00D10829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0FB78278" w14:textId="77777777" w:rsidR="003A12B0" w:rsidRPr="00D10829" w:rsidRDefault="003A12B0" w:rsidP="00D10829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0CC9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Minimální počet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2437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Maximální počet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4ED3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při min. počtu vozidel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633C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při max. počtu vozidel</w:t>
            </w:r>
          </w:p>
        </w:tc>
      </w:tr>
      <w:tr w:rsidR="00914682" w:rsidRPr="00D10829" w14:paraId="6F51980F" w14:textId="77777777" w:rsidTr="75B88526">
        <w:trPr>
          <w:trHeight w:val="3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4AC1" w14:textId="77777777" w:rsidR="003A12B0" w:rsidRPr="00D10829" w:rsidRDefault="4AB8D8F5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OA BEV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EAEC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60 169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5BB6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220 000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8EC2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500 000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C4AE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189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2175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521</w:t>
            </w:r>
          </w:p>
        </w:tc>
      </w:tr>
      <w:tr w:rsidR="00914682" w:rsidRPr="00D10829" w14:paraId="30AE338D" w14:textId="77777777" w:rsidTr="75B88526">
        <w:trPr>
          <w:trHeight w:val="3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1F58" w14:textId="77777777" w:rsidR="003A12B0" w:rsidRPr="00D10829" w:rsidRDefault="4AB8D8F5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OA H</w:t>
            </w:r>
            <w:r w:rsidRPr="75B88526">
              <w:rPr>
                <w:rFonts w:eastAsiaTheme="minorEastAsia"/>
                <w:color w:val="auto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4315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B2B2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40 000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8D2F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2AA1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690C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59</w:t>
            </w:r>
          </w:p>
        </w:tc>
      </w:tr>
      <w:tr w:rsidR="00914682" w:rsidRPr="00D10829" w14:paraId="7191F1FA" w14:textId="77777777" w:rsidTr="75B88526">
        <w:trPr>
          <w:trHeight w:val="3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076A" w14:textId="77777777" w:rsidR="003A12B0" w:rsidRPr="00D10829" w:rsidRDefault="4AB8D8F5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BUS BEV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5068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CB7C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0975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1 200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7EEC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336A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14</w:t>
            </w:r>
          </w:p>
        </w:tc>
      </w:tr>
      <w:tr w:rsidR="003A12B0" w:rsidRPr="00D10829" w14:paraId="317E7314" w14:textId="77777777" w:rsidTr="75B88526">
        <w:trPr>
          <w:trHeight w:val="3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148B" w14:textId="77777777" w:rsidR="003A12B0" w:rsidRPr="00D10829" w:rsidRDefault="4AB8D8F5" w:rsidP="75B88526">
            <w:pPr>
              <w:spacing w:after="120" w:line="240" w:lineRule="auto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BUS H</w:t>
            </w:r>
            <w:r w:rsidRPr="75B88526">
              <w:rPr>
                <w:rFonts w:eastAsiaTheme="minorEastAsia"/>
                <w:color w:val="auto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F001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4DE4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B960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870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E791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F140" w14:textId="77777777" w:rsidR="003A12B0" w:rsidRPr="00D10829" w:rsidRDefault="4AB8D8F5" w:rsidP="75B88526">
            <w:pPr>
              <w:spacing w:after="120" w:line="240" w:lineRule="auto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75B88526">
              <w:rPr>
                <w:rFonts w:eastAsiaTheme="minorEastAsia"/>
                <w:color w:val="auto"/>
                <w:sz w:val="20"/>
                <w:szCs w:val="20"/>
              </w:rPr>
              <w:t>16</w:t>
            </w:r>
          </w:p>
        </w:tc>
      </w:tr>
    </w:tbl>
    <w:p w14:paraId="1FC39945" w14:textId="77777777" w:rsidR="005B7FDF" w:rsidRPr="00D10829" w:rsidRDefault="005B7FDF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</w:p>
    <w:p w14:paraId="37B8250E" w14:textId="77777777" w:rsidR="003A12B0" w:rsidRPr="00D10829" w:rsidRDefault="4AB8D8F5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*Úspora emisí je vypočítána na základě emisní projekce NPSE, která zohledňuje předpokládanou strukturu vozového parku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roce 2030 (počet vozidel dle druhu používaného paliva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plnění emisních norem EURO), počet najetých kilometrů dle reálných projezdů vozidel z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CIS STK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emisní faktory dle modelu COPERT. Předpokládá se, že OA BEV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OA H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2</w:t>
      </w:r>
      <w:r w:rsidRPr="75B88526">
        <w:rPr>
          <w:rFonts w:eastAsiaTheme="minorEastAsia"/>
          <w:color w:val="auto"/>
          <w:sz w:val="20"/>
          <w:szCs w:val="20"/>
        </w:rPr>
        <w:t xml:space="preserve"> nahradí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90 % případech vozidla EURO 6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v 10 % vozidla EURO 5, přičemž zastoupení naftových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benzínových vozidel bude stejné. </w:t>
      </w:r>
    </w:p>
    <w:p w14:paraId="14510EAE" w14:textId="77777777" w:rsidR="003A12B0" w:rsidRPr="00D10829" w:rsidRDefault="4AB8D8F5" w:rsidP="75B88526">
      <w:pPr>
        <w:spacing w:after="12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Z uvedené tabulky vyplývá, že při naplnění minimálního počtu vozidel s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alternativním pohonem dle Aktualizace NAP ČM bude dosaženo úspory emisí NO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x</w:t>
      </w:r>
      <w:r w:rsidRPr="75B88526">
        <w:rPr>
          <w:rFonts w:eastAsiaTheme="minorEastAsia"/>
          <w:color w:val="auto"/>
          <w:sz w:val="20"/>
          <w:szCs w:val="20"/>
        </w:rPr>
        <w:t xml:space="preserve"> pouze 224 tun ročně.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případě naplnění maximálního předpokládaného počtu vozidel bude dosaženo úspory emisí NO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x</w:t>
      </w:r>
      <w:r w:rsidRPr="75B88526">
        <w:rPr>
          <w:rFonts w:eastAsiaTheme="minorEastAsia"/>
          <w:color w:val="auto"/>
          <w:sz w:val="20"/>
          <w:szCs w:val="20"/>
        </w:rPr>
        <w:t xml:space="preserve"> cca 0,6 kt. Samotný NAP ČM tak nezajistí požadované snížení emisí NOx o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5 kt. Vzhledem k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tomu, že ČR je tranzitní zemí, může ve skutečnosti hlavní cíl NAP CM, tj. zavedení infrastruktury pro alternativní paliva, snížit tyto emise ve větším měřítku, protože zahraniční dopravci se podílí více jak 50 % na přepravních výkonech u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nás. </w:t>
      </w:r>
    </w:p>
    <w:p w14:paraId="68C75F09" w14:textId="77777777" w:rsidR="001F32B2" w:rsidRPr="00D10829" w:rsidRDefault="2E04AAEA" w:rsidP="75B88526">
      <w:pPr>
        <w:pStyle w:val="Odstavecseseznamem"/>
        <w:spacing w:after="120" w:line="240" w:lineRule="auto"/>
        <w:ind w:left="0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Vládou ČR schválený Vnitrostátní plán ČR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oblasti energetiky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klimatu (MPO ČR, listopad 2019) určuje pro oblast zvyšování energetické účinnosti závazný cíl snižovat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období let 2021 až 2030 konečnou spotřebu energie,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to zaváděním nových úspor tempem 0,8 %/rok, tedy 8,4 PJ/rok (při</w:t>
      </w:r>
      <w:r w:rsidR="1DF21103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předpokládané úrovni konečné spotřeby energie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ČR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roce 2020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úrovni 1 050 PJ/rok). To znamená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přepočtu pro obor dopravy (při předpokládané úrovni konečné spotřeby energie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dopravě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ČR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roce 2020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úrovni 305 PJ/rok – 85 TWh/rok) zvyšovat úspory energie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dopravě tempem 2,44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PJ/rok (0,68 TWh/rok). </w:t>
      </w:r>
    </w:p>
    <w:p w14:paraId="2121F3E4" w14:textId="77777777" w:rsidR="001F32B2" w:rsidRPr="00D10829" w:rsidRDefault="2E04AAEA" w:rsidP="75B88526">
      <w:pPr>
        <w:pStyle w:val="Odstavecseseznamem"/>
        <w:spacing w:after="120" w:line="240" w:lineRule="auto"/>
        <w:ind w:left="0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V oblasti snižování produkce oxidu uhličitého určuje Vnitrostátní plán ČR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oblasti energetiky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klimatu cíl snížit mezi roky 2020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2030 emise CO</w:t>
      </w:r>
      <w:r w:rsidRPr="75B88526">
        <w:rPr>
          <w:rFonts w:eastAsiaTheme="minorEastAsia"/>
          <w:color w:val="auto"/>
          <w:sz w:val="20"/>
          <w:szCs w:val="20"/>
          <w:vertAlign w:val="subscript"/>
        </w:rPr>
        <w:t>2</w:t>
      </w:r>
      <w:r w:rsidRPr="75B88526">
        <w:rPr>
          <w:rFonts w:eastAsiaTheme="minorEastAsia"/>
          <w:color w:val="auto"/>
          <w:sz w:val="20"/>
          <w:szCs w:val="20"/>
        </w:rPr>
        <w:t xml:space="preserve"> produkované spalováním fosilních paliv ze 116 Mt/rok na 104 Mt/rok, tedy zhruba o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10 %. To znamená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přepočtu pro obor dopravy (při předpokládané úrovni produkce oxidu uhličitého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dopravě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ČR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roce 2020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úrovni 21,3 Mt/rok) zvyšovat úspory emisí oxidu uhličitého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dopravě tempem 0,2 Mt/rok.</w:t>
      </w:r>
    </w:p>
    <w:p w14:paraId="42D3D0E0" w14:textId="77777777" w:rsidR="001F32B2" w:rsidRPr="00D10829" w:rsidRDefault="2E04AAEA" w:rsidP="75B88526">
      <w:pPr>
        <w:pStyle w:val="Odstavecseseznamem"/>
        <w:spacing w:after="120" w:line="240" w:lineRule="auto"/>
        <w:ind w:left="0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V tabulce výše uvedená intramodální úsporná opatření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silniční dopravě přinesou (v uváděném rozpětí počtu vozidel):</w:t>
      </w:r>
    </w:p>
    <w:p w14:paraId="569C296A" w14:textId="77777777" w:rsidR="001F32B2" w:rsidRPr="00D10829" w:rsidRDefault="2E04AAEA" w:rsidP="75B88526">
      <w:pPr>
        <w:pStyle w:val="Odstavecseseznamem"/>
        <w:numPr>
          <w:ilvl w:val="0"/>
          <w:numId w:val="15"/>
        </w:numPr>
        <w:spacing w:after="120" w:line="240" w:lineRule="auto"/>
        <w:ind w:left="0" w:firstLine="0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úspory konečné spotřeby energie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dopravě tempem 0,24 PJ/rok (0,07 TWh/rok) až 0,50 PJ/rok (0,14 TWh/rok),</w:t>
      </w:r>
    </w:p>
    <w:p w14:paraId="3D8DD124" w14:textId="77777777" w:rsidR="001F32B2" w:rsidRPr="00D10829" w:rsidRDefault="2E04AAEA" w:rsidP="75B88526">
      <w:pPr>
        <w:pStyle w:val="Odstavecseseznamem"/>
        <w:numPr>
          <w:ilvl w:val="0"/>
          <w:numId w:val="15"/>
        </w:numPr>
        <w:spacing w:after="120" w:line="240" w:lineRule="auto"/>
        <w:ind w:left="0" w:firstLine="0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úspory produkce oxidu uhličitého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 xml:space="preserve">dopravě tempem 0,02 Mt/rok až 0,04 Mt/rok. </w:t>
      </w:r>
    </w:p>
    <w:p w14:paraId="0562CB0E" w14:textId="77777777" w:rsidR="001F32B2" w:rsidRPr="00D10829" w:rsidRDefault="001F32B2" w:rsidP="75B88526">
      <w:pPr>
        <w:pStyle w:val="Odstavecseseznamem"/>
        <w:spacing w:after="120" w:line="240" w:lineRule="auto"/>
        <w:ind w:left="0"/>
        <w:jc w:val="both"/>
        <w:rPr>
          <w:rFonts w:eastAsiaTheme="minorEastAsia"/>
          <w:color w:val="auto"/>
          <w:sz w:val="20"/>
          <w:szCs w:val="20"/>
        </w:rPr>
      </w:pPr>
    </w:p>
    <w:p w14:paraId="5669D67B" w14:textId="77777777" w:rsidR="001F32B2" w:rsidRPr="00D10829" w:rsidRDefault="2E04AAEA" w:rsidP="75B88526">
      <w:pPr>
        <w:pStyle w:val="Odstavecseseznamem"/>
        <w:spacing w:after="120" w:line="240" w:lineRule="auto"/>
        <w:ind w:left="0"/>
        <w:jc w:val="both"/>
        <w:rPr>
          <w:rFonts w:eastAsiaTheme="minorEastAsia"/>
          <w:color w:val="auto"/>
          <w:sz w:val="20"/>
          <w:szCs w:val="20"/>
        </w:rPr>
      </w:pPr>
      <w:r w:rsidRPr="75B88526">
        <w:rPr>
          <w:rFonts w:eastAsiaTheme="minorEastAsia"/>
          <w:color w:val="auto"/>
          <w:sz w:val="20"/>
          <w:szCs w:val="20"/>
        </w:rPr>
        <w:t>Cíle uvedené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tabulce Aktualizace Národního akčního plánu čisté mobility naplňují cíle uvedené ve Vnitrostátním plánu ČR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oblasti energetiky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klimatu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rozsahu 10 až 20 %. A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to jak v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oblasti snižování spotřeby energie, tak i</w:t>
      </w:r>
      <w:r w:rsidR="2B7D270A" w:rsidRPr="75B88526">
        <w:rPr>
          <w:rFonts w:eastAsiaTheme="minorEastAsia"/>
          <w:color w:val="auto"/>
          <w:sz w:val="20"/>
          <w:szCs w:val="20"/>
        </w:rPr>
        <w:t> </w:t>
      </w:r>
      <w:r w:rsidRPr="75B88526">
        <w:rPr>
          <w:rFonts w:eastAsiaTheme="minorEastAsia"/>
          <w:color w:val="auto"/>
          <w:sz w:val="20"/>
          <w:szCs w:val="20"/>
        </w:rPr>
        <w:t>v oblasti snižování emisí oxidu uhličitého.</w:t>
      </w:r>
    </w:p>
    <w:p w14:paraId="73C802FB" w14:textId="77777777" w:rsidR="00F1576D" w:rsidRPr="00D10829" w:rsidRDefault="213CC782" w:rsidP="75B88526">
      <w:pPr>
        <w:pStyle w:val="00Body"/>
        <w:spacing w:before="0" w:after="120" w:line="240" w:lineRule="auto"/>
        <w:jc w:val="both"/>
        <w:rPr>
          <w:rFonts w:asciiTheme="minorHAnsi" w:eastAsiaTheme="minorEastAsia" w:hAnsiTheme="minorHAnsi" w:cstheme="minorBidi"/>
          <w:sz w:val="20"/>
        </w:rPr>
      </w:pPr>
      <w:r w:rsidRPr="75B88526">
        <w:rPr>
          <w:rFonts w:asciiTheme="minorHAnsi" w:eastAsiaTheme="minorEastAsia" w:hAnsiTheme="minorHAnsi" w:cstheme="minorBidi"/>
          <w:sz w:val="20"/>
          <w:lang w:val="cs-CZ"/>
        </w:rPr>
        <w:t>Touto komponentou napomůžeme k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dekarbonizaci dopravy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transformaci automobilového průmyslu směrem k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zelené ekonomice. Zároveň přispějeme k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plnění závazku ČR vyplývajícího ze Směrnice EP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Rady 2018/2001, čl. 25, která zavádí pro každý členský stát povinný cíl do roku 2030 dosažení 14% podílu energie v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dopravě z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obnovitelných zdrojů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plnění Směrnice Evropského parlamentu a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Rady 2014/94/EU o</w:t>
      </w:r>
      <w:r w:rsidR="2B7D270A" w:rsidRPr="75B88526">
        <w:rPr>
          <w:rFonts w:asciiTheme="minorHAnsi" w:eastAsiaTheme="minorEastAsia" w:hAnsiTheme="minorHAnsi" w:cstheme="minorBidi"/>
          <w:sz w:val="20"/>
          <w:lang w:val="cs-CZ"/>
        </w:rPr>
        <w:t> </w:t>
      </w:r>
      <w:r w:rsidRPr="75B88526">
        <w:rPr>
          <w:rFonts w:asciiTheme="minorHAnsi" w:eastAsiaTheme="minorEastAsia" w:hAnsiTheme="minorHAnsi" w:cstheme="minorBidi"/>
          <w:sz w:val="20"/>
          <w:lang w:val="cs-CZ"/>
        </w:rPr>
        <w:t>zavádění infrastruktury pro alternativní paliva.</w:t>
      </w:r>
      <w:r w:rsidR="009408DB">
        <w:tab/>
      </w:r>
    </w:p>
    <w:p w14:paraId="3E583F75" w14:textId="487C6544" w:rsidR="00AC2F11" w:rsidRPr="00D10829" w:rsidRDefault="44366CC6" w:rsidP="75B88526">
      <w:pPr>
        <w:pStyle w:val="paragraph"/>
        <w:spacing w:before="0" w:beforeAutospacing="0" w:after="120" w:afterAutospacing="0"/>
        <w:textAlignment w:val="baseline"/>
        <w:rPr>
          <w:b/>
          <w:bCs/>
          <w:lang w:val="en-US"/>
        </w:rPr>
      </w:pP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 xml:space="preserve"> 7. </w:t>
      </w:r>
      <w:r w:rsidRPr="75B88526">
        <w:rPr>
          <w:rStyle w:val="tabchar"/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Pr="75B88526">
        <w:rPr>
          <w:rStyle w:val="spellingerror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Digitální </w:t>
      </w:r>
      <w:r w:rsidRPr="75B88526">
        <w:rPr>
          <w:rFonts w:ascii="Calibri" w:eastAsia="Calibri" w:hAnsi="Calibri" w:cs="Calibri"/>
          <w:b/>
          <w:bCs/>
          <w:color w:val="000000" w:themeColor="text1"/>
          <w:sz w:val="20"/>
          <w:szCs w:val="20"/>
          <w:lang w:val="en-US"/>
        </w:rPr>
        <w:t xml:space="preserve"> rozměr komponenty</w:t>
      </w:r>
    </w:p>
    <w:p w14:paraId="73BD1ED8" w14:textId="28F4C8ED" w:rsidR="00AC2F11" w:rsidRPr="00D10829" w:rsidRDefault="44366CC6" w:rsidP="75B88526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eastAsiaTheme="minorEastAsia" w:hAnsiTheme="minorHAnsi" w:cstheme="minorBidi"/>
          <w:sz w:val="20"/>
          <w:szCs w:val="20"/>
        </w:rPr>
      </w:pPr>
      <w:r w:rsidRPr="75B88526">
        <w:rPr>
          <w:rStyle w:val="eop"/>
          <w:rFonts w:asciiTheme="minorHAnsi" w:eastAsiaTheme="minorEastAsia" w:hAnsiTheme="minorHAnsi" w:cstheme="minorBidi"/>
          <w:sz w:val="20"/>
          <w:szCs w:val="20"/>
        </w:rPr>
        <w:t>Není rel</w:t>
      </w:r>
      <w:r w:rsidR="11E91632" w:rsidRPr="75B88526">
        <w:rPr>
          <w:rStyle w:val="eop"/>
          <w:rFonts w:asciiTheme="minorHAnsi" w:eastAsiaTheme="minorEastAsia" w:hAnsiTheme="minorHAnsi" w:cstheme="minorBidi"/>
          <w:sz w:val="20"/>
          <w:szCs w:val="20"/>
        </w:rPr>
        <w:t>vantní k této komponentě.</w:t>
      </w:r>
    </w:p>
    <w:p w14:paraId="6EAE49D9" w14:textId="3A7A30E0" w:rsidR="00CB734D" w:rsidRPr="00D10829" w:rsidRDefault="3097E1B1" w:rsidP="75B88526">
      <w:pPr>
        <w:pStyle w:val="paragraph"/>
        <w:spacing w:before="0" w:beforeAutospacing="0" w:after="120" w:afterAutospacing="0"/>
        <w:textAlignment w:val="baseline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8. </w:t>
      </w:r>
      <w:r w:rsidRPr="75B88526">
        <w:rPr>
          <w:rStyle w:val="tabchar"/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07090A9A" w:rsidRPr="75B88526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 xml:space="preserve">Uplatnění zásady „významně nepoškozovat“ </w:t>
      </w: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 </w:t>
      </w:r>
      <w:r w:rsidRPr="75B88526">
        <w:rPr>
          <w:rStyle w:val="eop"/>
          <w:rFonts w:asciiTheme="minorHAnsi" w:eastAsiaTheme="minorEastAsia" w:hAnsiTheme="minorHAnsi" w:cstheme="minorBidi"/>
          <w:b/>
          <w:bCs/>
          <w:sz w:val="20"/>
          <w:szCs w:val="20"/>
        </w:rPr>
        <w:t> </w:t>
      </w:r>
    </w:p>
    <w:p w14:paraId="3BF94032" w14:textId="77777777" w:rsidR="00CB734D" w:rsidRPr="00D10829" w:rsidRDefault="3097E1B1" w:rsidP="75B88526">
      <w:pPr>
        <w:pStyle w:val="paragraph"/>
        <w:spacing w:before="0" w:beforeAutospacing="0" w:after="120" w:afterAutospacing="0"/>
        <w:jc w:val="both"/>
        <w:textAlignment w:val="baseline"/>
        <w:rPr>
          <w:rFonts w:asciiTheme="minorHAnsi" w:eastAsiaTheme="minorEastAsia" w:hAnsiTheme="minorHAnsi" w:cstheme="minorBidi"/>
          <w:sz w:val="20"/>
          <w:szCs w:val="20"/>
        </w:rPr>
      </w:pPr>
      <w:r w:rsidRPr="75B88526">
        <w:rPr>
          <w:rStyle w:val="normaltextrun"/>
          <w:rFonts w:asciiTheme="minorHAnsi" w:eastAsiaTheme="minorEastAsia" w:hAnsiTheme="minorHAnsi" w:cstheme="minorBidi"/>
          <w:sz w:val="20"/>
          <w:szCs w:val="20"/>
          <w:lang w:val="en-US"/>
        </w:rPr>
        <w:t>Viz tab T1a_DNSH</w:t>
      </w:r>
      <w:r w:rsidRPr="75B88526">
        <w:rPr>
          <w:rStyle w:val="eop"/>
          <w:rFonts w:asciiTheme="minorHAnsi" w:eastAsiaTheme="minorEastAsia" w:hAnsiTheme="minorHAnsi" w:cstheme="minorBidi"/>
          <w:sz w:val="20"/>
          <w:szCs w:val="20"/>
        </w:rPr>
        <w:t> </w:t>
      </w:r>
    </w:p>
    <w:p w14:paraId="48D0BE95" w14:textId="4B1AA2CD" w:rsidR="00CB734D" w:rsidRPr="00D10829" w:rsidRDefault="3097E1B1" w:rsidP="75B88526">
      <w:pPr>
        <w:pStyle w:val="paragraph"/>
        <w:spacing w:before="0" w:beforeAutospacing="0" w:after="120" w:afterAutospacing="0"/>
        <w:textAlignment w:val="baseline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75B88526">
        <w:rPr>
          <w:rStyle w:val="normaltextrun"/>
          <w:rFonts w:asciiTheme="minorHAnsi" w:eastAsiaTheme="minorEastAsia" w:hAnsiTheme="minorHAnsi" w:cstheme="minorBidi"/>
          <w:i/>
          <w:iCs/>
          <w:sz w:val="20"/>
          <w:szCs w:val="20"/>
          <w:lang w:val="en-US"/>
        </w:rPr>
        <w:t> </w:t>
      </w:r>
      <w:r w:rsidRPr="75B88526">
        <w:rPr>
          <w:rStyle w:val="eop"/>
          <w:rFonts w:asciiTheme="minorHAnsi" w:eastAsiaTheme="minorEastAsia" w:hAnsiTheme="minorHAnsi" w:cstheme="minorBidi"/>
          <w:sz w:val="20"/>
          <w:szCs w:val="20"/>
        </w:rPr>
        <w:t> </w:t>
      </w: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9. </w:t>
      </w:r>
      <w:r w:rsidRPr="75B88526">
        <w:rPr>
          <w:rStyle w:val="tabchar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Pr="75B88526">
        <w:rPr>
          <w:rStyle w:val="spellingerror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Milníky</w:t>
      </w: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, </w:t>
      </w:r>
      <w:r w:rsidRPr="75B88526">
        <w:rPr>
          <w:rStyle w:val="spellingerror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cíle</w:t>
      </w: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 a </w:t>
      </w:r>
      <w:r w:rsidR="1F32AE44"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harmonogram</w:t>
      </w: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 </w:t>
      </w:r>
      <w:r w:rsidRPr="75B88526">
        <w:rPr>
          <w:rStyle w:val="eop"/>
          <w:rFonts w:asciiTheme="minorHAnsi" w:eastAsiaTheme="minorEastAsia" w:hAnsiTheme="minorHAnsi" w:cstheme="minorBidi"/>
          <w:b/>
          <w:bCs/>
          <w:sz w:val="20"/>
          <w:szCs w:val="20"/>
        </w:rPr>
        <w:t> </w:t>
      </w:r>
    </w:p>
    <w:p w14:paraId="6AF7B8AD" w14:textId="77777777" w:rsidR="00CB734D" w:rsidRPr="00D10829" w:rsidRDefault="3097E1B1" w:rsidP="75B88526">
      <w:pPr>
        <w:pStyle w:val="paragraph"/>
        <w:spacing w:before="0" w:beforeAutospacing="0" w:after="120" w:afterAutospacing="0"/>
        <w:jc w:val="both"/>
        <w:textAlignment w:val="baseline"/>
        <w:rPr>
          <w:rFonts w:asciiTheme="minorHAnsi" w:eastAsiaTheme="minorEastAsia" w:hAnsiTheme="minorHAnsi" w:cstheme="minorBidi"/>
          <w:sz w:val="20"/>
          <w:szCs w:val="20"/>
        </w:rPr>
      </w:pPr>
      <w:r w:rsidRPr="75B88526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 Viz </w:t>
      </w:r>
      <w:r w:rsidRPr="75B88526">
        <w:rPr>
          <w:rStyle w:val="spellingerror"/>
          <w:rFonts w:asciiTheme="minorHAnsi" w:eastAsiaTheme="minorEastAsia" w:hAnsiTheme="minorHAnsi" w:cstheme="minorBidi"/>
          <w:sz w:val="20"/>
          <w:szCs w:val="20"/>
        </w:rPr>
        <w:t>tab</w:t>
      </w:r>
      <w:r w:rsidRPr="75B88526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 T2_MilestonesTargets</w:t>
      </w:r>
      <w:r w:rsidRPr="75B88526">
        <w:rPr>
          <w:rStyle w:val="eop"/>
          <w:rFonts w:asciiTheme="minorHAnsi" w:eastAsiaTheme="minorEastAsia" w:hAnsiTheme="minorHAnsi" w:cstheme="minorBidi"/>
          <w:sz w:val="20"/>
          <w:szCs w:val="20"/>
        </w:rPr>
        <w:t> </w:t>
      </w:r>
    </w:p>
    <w:p w14:paraId="2BE21BE7" w14:textId="77777777" w:rsidR="00CB734D" w:rsidRPr="00D10829" w:rsidRDefault="3097E1B1" w:rsidP="75B88526">
      <w:pPr>
        <w:pStyle w:val="paragraph"/>
        <w:spacing w:before="0" w:beforeAutospacing="0" w:after="120" w:afterAutospacing="0"/>
        <w:textAlignment w:val="baseline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10.</w:t>
      </w:r>
      <w:r w:rsidRPr="75B88526">
        <w:rPr>
          <w:rStyle w:val="tabchar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Pr="75B88526">
        <w:rPr>
          <w:rStyle w:val="spellingerror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Financování</w:t>
      </w:r>
      <w:r w:rsidRPr="75B88526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 a </w:t>
      </w:r>
      <w:r w:rsidRPr="75B88526">
        <w:rPr>
          <w:rStyle w:val="spellingerror"/>
          <w:rFonts w:asciiTheme="minorHAnsi" w:eastAsiaTheme="minorEastAsia" w:hAnsiTheme="minorHAnsi" w:cstheme="minorBidi"/>
          <w:b/>
          <w:bCs/>
          <w:sz w:val="20"/>
          <w:szCs w:val="20"/>
          <w:lang w:val="en-US"/>
        </w:rPr>
        <w:t>náklady</w:t>
      </w:r>
      <w:r w:rsidRPr="75B88526">
        <w:rPr>
          <w:rStyle w:val="eop"/>
          <w:rFonts w:asciiTheme="minorHAnsi" w:eastAsiaTheme="minorEastAsia" w:hAnsiTheme="minorHAnsi" w:cstheme="minorBidi"/>
          <w:b/>
          <w:bCs/>
          <w:sz w:val="20"/>
          <w:szCs w:val="20"/>
        </w:rPr>
        <w:t> </w:t>
      </w:r>
    </w:p>
    <w:p w14:paraId="67600DE7" w14:textId="77777777" w:rsidR="00CB734D" w:rsidRPr="00D10829" w:rsidRDefault="3097E1B1" w:rsidP="75B88526">
      <w:pPr>
        <w:pStyle w:val="paragraph"/>
        <w:spacing w:before="0" w:beforeAutospacing="0" w:after="120" w:afterAutospacing="0"/>
        <w:jc w:val="both"/>
        <w:textAlignment w:val="baseline"/>
        <w:rPr>
          <w:rStyle w:val="eop"/>
          <w:rFonts w:asciiTheme="minorHAnsi" w:eastAsiaTheme="minorEastAsia" w:hAnsiTheme="minorHAnsi" w:cstheme="minorBidi"/>
          <w:sz w:val="20"/>
          <w:szCs w:val="20"/>
        </w:rPr>
      </w:pPr>
      <w:r w:rsidRPr="75B88526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Viz </w:t>
      </w:r>
      <w:r w:rsidRPr="75B88526">
        <w:rPr>
          <w:rStyle w:val="spellingerror"/>
          <w:rFonts w:asciiTheme="minorHAnsi" w:eastAsiaTheme="minorEastAsia" w:hAnsiTheme="minorHAnsi" w:cstheme="minorBidi"/>
          <w:sz w:val="20"/>
          <w:szCs w:val="20"/>
        </w:rPr>
        <w:t>tab</w:t>
      </w:r>
      <w:r w:rsidRPr="75B88526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 T3_Costing</w:t>
      </w:r>
      <w:r w:rsidRPr="75B88526">
        <w:rPr>
          <w:rStyle w:val="eop"/>
          <w:rFonts w:asciiTheme="minorHAnsi" w:eastAsiaTheme="minorEastAsia" w:hAnsiTheme="minorHAnsi" w:cstheme="minorBidi"/>
          <w:sz w:val="20"/>
          <w:szCs w:val="20"/>
        </w:rPr>
        <w:t> </w:t>
      </w:r>
    </w:p>
    <w:p w14:paraId="34CE0A41" w14:textId="77777777" w:rsidR="00CB734D" w:rsidRPr="00D10829" w:rsidRDefault="00CB734D" w:rsidP="75B88526">
      <w:pPr>
        <w:pStyle w:val="paragraph"/>
        <w:spacing w:before="0" w:beforeAutospacing="0" w:after="120" w:afterAutospacing="0"/>
        <w:jc w:val="both"/>
        <w:textAlignment w:val="baseline"/>
        <w:rPr>
          <w:rFonts w:asciiTheme="minorHAnsi" w:eastAsiaTheme="minorEastAsia" w:hAnsiTheme="minorHAnsi" w:cstheme="minorBidi"/>
          <w:sz w:val="20"/>
          <w:szCs w:val="20"/>
        </w:rPr>
      </w:pPr>
    </w:p>
    <w:p w14:paraId="62EBF3C5" w14:textId="77777777" w:rsidR="005119E2" w:rsidRPr="00D10829" w:rsidRDefault="005119E2" w:rsidP="75B88526">
      <w:pPr>
        <w:pStyle w:val="Default"/>
        <w:spacing w:after="120"/>
        <w:jc w:val="both"/>
        <w:rPr>
          <w:rFonts w:asciiTheme="minorHAnsi" w:eastAsiaTheme="minorEastAsia" w:hAnsiTheme="minorHAnsi" w:cstheme="minorBidi"/>
          <w:color w:val="auto"/>
          <w:sz w:val="20"/>
          <w:szCs w:val="20"/>
        </w:rPr>
      </w:pPr>
    </w:p>
    <w:sectPr w:rsidR="005119E2" w:rsidRPr="00D10829" w:rsidSect="00CC5E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6DB82" w14:textId="77777777" w:rsidR="009F4542" w:rsidRDefault="009F4542" w:rsidP="00677FE0">
      <w:pPr>
        <w:spacing w:after="0" w:line="240" w:lineRule="auto"/>
      </w:pPr>
      <w:r>
        <w:separator/>
      </w:r>
    </w:p>
  </w:endnote>
  <w:endnote w:type="continuationSeparator" w:id="0">
    <w:p w14:paraId="5997CC1D" w14:textId="77777777" w:rsidR="009F4542" w:rsidRDefault="009F4542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Body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0E257" w14:textId="77777777" w:rsidR="005475D8" w:rsidRDefault="005475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7162479"/>
      <w:docPartObj>
        <w:docPartGallery w:val="Page Numbers (Bottom of Page)"/>
        <w:docPartUnique/>
      </w:docPartObj>
    </w:sdtPr>
    <w:sdtEndPr/>
    <w:sdtContent>
      <w:p w14:paraId="0162ECCE" w14:textId="77777777" w:rsidR="0086593D" w:rsidRDefault="0086593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D6A">
          <w:rPr>
            <w:noProof/>
          </w:rPr>
          <w:t>7</w:t>
        </w:r>
        <w:r>
          <w:fldChar w:fldCharType="end"/>
        </w:r>
      </w:p>
    </w:sdtContent>
  </w:sdt>
  <w:p w14:paraId="6D98A12B" w14:textId="77777777" w:rsidR="0086593D" w:rsidRDefault="008659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20B11" w14:textId="77777777" w:rsidR="005475D8" w:rsidRDefault="005475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FFD37" w14:textId="77777777" w:rsidR="009F4542" w:rsidRDefault="009F4542" w:rsidP="00677FE0">
      <w:pPr>
        <w:spacing w:after="0" w:line="240" w:lineRule="auto"/>
      </w:pPr>
      <w:r>
        <w:separator/>
      </w:r>
    </w:p>
  </w:footnote>
  <w:footnote w:type="continuationSeparator" w:id="0">
    <w:p w14:paraId="6B699379" w14:textId="77777777" w:rsidR="009F4542" w:rsidRDefault="009F4542" w:rsidP="00677FE0">
      <w:pPr>
        <w:spacing w:after="0" w:line="240" w:lineRule="auto"/>
      </w:pPr>
      <w:r>
        <w:continuationSeparator/>
      </w:r>
    </w:p>
  </w:footnote>
  <w:footnote w:id="1">
    <w:p w14:paraId="2A263A8E" w14:textId="77777777" w:rsidR="0086593D" w:rsidRDefault="0086593D" w:rsidP="0098436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4" w:name="_Hlk63243523"/>
      <w:r>
        <w:t xml:space="preserve">Zdroj: str. 6 Aktualizace Národního akčního plánu čisté mobility (NAP CM) 2019 </w:t>
      </w:r>
      <w:r w:rsidRPr="0098436E">
        <w:t>https://www.mpo.cz/cz/prumysl/zpracovatelsky-prumysl/automobilovy-prumysl/aktualizace-narodniho-akcniho-planu-ciste-mobility--254445/</w:t>
      </w:r>
      <w:bookmarkEnd w:id="4"/>
    </w:p>
  </w:footnote>
  <w:footnote w:id="2">
    <w:p w14:paraId="24EFE7CD" w14:textId="77777777" w:rsidR="0086593D" w:rsidRDefault="0086593D">
      <w:pPr>
        <w:pStyle w:val="Textpoznpodarou"/>
      </w:pPr>
      <w:bookmarkStart w:id="5" w:name="_Hlk63243483"/>
      <w:r>
        <w:rPr>
          <w:rStyle w:val="Znakapoznpodarou"/>
        </w:rPr>
        <w:footnoteRef/>
      </w:r>
      <w:bookmarkEnd w:id="5"/>
      <w:r>
        <w:t xml:space="preserve"> </w:t>
      </w:r>
      <w:bookmarkStart w:id="6" w:name="_Hlk63330572"/>
      <w:r w:rsidRPr="0098436E">
        <w:t xml:space="preserve">Zdroj: </w:t>
      </w:r>
      <w:r>
        <w:t xml:space="preserve">str. 7 </w:t>
      </w:r>
      <w:r w:rsidRPr="0098436E">
        <w:t>Aktualizace Národního akčního plánu čisté mobility (NAP CM) 2019 https://www.mpo.cz/cz/prumysl/zpracovatelsky-prumysl/automobilovy-prumysl/aktualizace-narodniho-akcniho-planu-ciste-mobility--254445/</w:t>
      </w:r>
      <w:bookmarkEnd w:id="6"/>
    </w:p>
  </w:footnote>
  <w:footnote w:id="3">
    <w:p w14:paraId="1A113FDE" w14:textId="77777777" w:rsidR="0086593D" w:rsidRDefault="0086593D">
      <w:pPr>
        <w:pStyle w:val="Textpoznpodarou"/>
      </w:pPr>
      <w:r>
        <w:rPr>
          <w:rStyle w:val="Znakapoznpodarou"/>
        </w:rPr>
        <w:t>6</w:t>
      </w:r>
      <w:r>
        <w:t xml:space="preserve">, </w:t>
      </w:r>
      <w:r>
        <w:rPr>
          <w:rStyle w:val="Znakapoznpodarou"/>
        </w:rPr>
        <w:t>7</w:t>
      </w:r>
      <w:r>
        <w:t>,</w:t>
      </w:r>
      <w:r>
        <w:rPr>
          <w:rStyle w:val="Znakapoznpodarou"/>
        </w:rPr>
        <w:t>8</w:t>
      </w:r>
      <w:r>
        <w:t xml:space="preserve"> Zdroj: výpočty vycházejí z </w:t>
      </w:r>
      <w:r w:rsidRPr="00581A18">
        <w:t>Aktualizace Národního akčního plánu čisté mobility (NAP CM) 2019 https://www.mpo.cz/cz/prumysl/zpracovatelsky-prumysl/automobilovy-prumysl/aktualizace-narodniho-akcniho-planu-ciste-mobility--254445/</w:t>
      </w:r>
    </w:p>
  </w:footnote>
  <w:footnote w:id="4">
    <w:p w14:paraId="3FE9F23F" w14:textId="77777777" w:rsidR="0086593D" w:rsidRDefault="0086593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748DA" w14:textId="368241B8" w:rsidR="005475D8" w:rsidRDefault="005475D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1FF1DB" wp14:editId="7D121382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CF838A" w14:textId="75F61860" w:rsidR="005475D8" w:rsidRPr="009D5A1A" w:rsidRDefault="005475D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9D5A1A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1FF1D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ě přístupné informace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AjIXzsRwIAAGc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2ACF838A" w14:textId="75F61860" w:rsidR="005475D8" w:rsidRPr="009D5A1A" w:rsidRDefault="005475D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9D5A1A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2857F" w14:textId="7D338C6F" w:rsidR="005475D8" w:rsidRDefault="005475D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9F722A" wp14:editId="350CAB1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3" name="Textové pole 3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C64E8F" w14:textId="18C0BC83" w:rsidR="005475D8" w:rsidRPr="009D5A1A" w:rsidRDefault="005475D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9D5A1A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9F722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Veřejně přístupné informace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Pilt9VJAgAA&#10;bgQAAA4AAAAAAAAAAAAAAAAALgIAAGRycy9lMm9Eb2MueG1sUEsBAi0AFAAGAAgAAAAhADSBOhba&#10;AAAAAwEAAA8AAAAAAAAAAAAAAAAAowQAAGRycy9kb3ducmV2LnhtbFBLBQYAAAAABAAEAPMAAACq&#10;BQAAAAA=&#10;" filled="f" stroked="f">
              <v:textbox style="mso-fit-shape-to-text:t" inset="5pt,0,0,0">
                <w:txbxContent>
                  <w:p w14:paraId="7EC64E8F" w14:textId="18C0BC83" w:rsidR="005475D8" w:rsidRPr="009D5A1A" w:rsidRDefault="005475D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9D5A1A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B9F76" w14:textId="123BA275" w:rsidR="005475D8" w:rsidRDefault="005475D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4D420D9" wp14:editId="135E87D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982EE8" w14:textId="7C4C3A1E" w:rsidR="005475D8" w:rsidRPr="009D5A1A" w:rsidRDefault="005475D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9D5A1A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D420D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Veřejně přístupné informace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P9a/j5JAgAA&#10;bgQAAA4AAAAAAAAAAAAAAAAALgIAAGRycy9lMm9Eb2MueG1sUEsBAi0AFAAGAAgAAAAhADSBOhba&#10;AAAAAwEAAA8AAAAAAAAAAAAAAAAAowQAAGRycy9kb3ducmV2LnhtbFBLBQYAAAAABAAEAPMAAACq&#10;BQAAAAA=&#10;" filled="f" stroked="f">
              <v:textbox style="mso-fit-shape-to-text:t" inset="5pt,0,0,0">
                <w:txbxContent>
                  <w:p w14:paraId="2F982EE8" w14:textId="7C4C3A1E" w:rsidR="005475D8" w:rsidRPr="009D5A1A" w:rsidRDefault="005475D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9D5A1A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4B823DB"/>
    <w:multiLevelType w:val="hybridMultilevel"/>
    <w:tmpl w:val="67047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B2BFF"/>
    <w:multiLevelType w:val="hybridMultilevel"/>
    <w:tmpl w:val="342C045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213"/>
    <w:multiLevelType w:val="hybridMultilevel"/>
    <w:tmpl w:val="4EF0A5EE"/>
    <w:lvl w:ilvl="0" w:tplc="13AACB9A">
      <w:start w:val="1"/>
      <w:numFmt w:val="lowerLetter"/>
      <w:pStyle w:val="Odrkyabc"/>
      <w:lvlText w:val="%1)"/>
      <w:lvlJc w:val="left"/>
      <w:pPr>
        <w:tabs>
          <w:tab w:val="num" w:pos="680"/>
        </w:tabs>
        <w:ind w:left="680" w:hanging="396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830BB"/>
    <w:multiLevelType w:val="hybridMultilevel"/>
    <w:tmpl w:val="5582ECD2"/>
    <w:lvl w:ilvl="0" w:tplc="EBBAF14C">
      <w:start w:val="1"/>
      <w:numFmt w:val="decimal"/>
      <w:lvlText w:val="%1."/>
      <w:lvlJc w:val="left"/>
      <w:pPr>
        <w:ind w:left="720" w:hanging="360"/>
      </w:pPr>
    </w:lvl>
    <w:lvl w:ilvl="1" w:tplc="8350266E">
      <w:start w:val="1"/>
      <w:numFmt w:val="lowerLetter"/>
      <w:lvlText w:val="%2."/>
      <w:lvlJc w:val="left"/>
      <w:pPr>
        <w:ind w:left="1440" w:hanging="360"/>
      </w:pPr>
    </w:lvl>
    <w:lvl w:ilvl="2" w:tplc="AB6854FC">
      <w:start w:val="1"/>
      <w:numFmt w:val="lowerRoman"/>
      <w:lvlText w:val="%3."/>
      <w:lvlJc w:val="right"/>
      <w:pPr>
        <w:ind w:left="2160" w:hanging="180"/>
      </w:pPr>
    </w:lvl>
    <w:lvl w:ilvl="3" w:tplc="B9684F9A">
      <w:start w:val="1"/>
      <w:numFmt w:val="decimal"/>
      <w:lvlText w:val="%4."/>
      <w:lvlJc w:val="left"/>
      <w:pPr>
        <w:ind w:left="2880" w:hanging="360"/>
      </w:pPr>
    </w:lvl>
    <w:lvl w:ilvl="4" w:tplc="3CA2603E">
      <w:start w:val="1"/>
      <w:numFmt w:val="lowerLetter"/>
      <w:lvlText w:val="%5."/>
      <w:lvlJc w:val="left"/>
      <w:pPr>
        <w:ind w:left="3600" w:hanging="360"/>
      </w:pPr>
    </w:lvl>
    <w:lvl w:ilvl="5" w:tplc="B4165C7C">
      <w:start w:val="1"/>
      <w:numFmt w:val="lowerRoman"/>
      <w:lvlText w:val="%6."/>
      <w:lvlJc w:val="right"/>
      <w:pPr>
        <w:ind w:left="4320" w:hanging="180"/>
      </w:pPr>
    </w:lvl>
    <w:lvl w:ilvl="6" w:tplc="71F43800">
      <w:start w:val="1"/>
      <w:numFmt w:val="decimal"/>
      <w:lvlText w:val="%7."/>
      <w:lvlJc w:val="left"/>
      <w:pPr>
        <w:ind w:left="5040" w:hanging="360"/>
      </w:pPr>
    </w:lvl>
    <w:lvl w:ilvl="7" w:tplc="E786A16E">
      <w:start w:val="1"/>
      <w:numFmt w:val="lowerLetter"/>
      <w:lvlText w:val="%8."/>
      <w:lvlJc w:val="left"/>
      <w:pPr>
        <w:ind w:left="5760" w:hanging="360"/>
      </w:pPr>
    </w:lvl>
    <w:lvl w:ilvl="8" w:tplc="A7CCA5A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16F8"/>
    <w:multiLevelType w:val="multilevel"/>
    <w:tmpl w:val="3320A8B2"/>
    <w:numStyleLink w:val="VariantaB-odrky"/>
  </w:abstractNum>
  <w:abstractNum w:abstractNumId="6" w15:restartNumberingAfterBreak="0">
    <w:nsid w:val="13056355"/>
    <w:multiLevelType w:val="hybridMultilevel"/>
    <w:tmpl w:val="21484492"/>
    <w:lvl w:ilvl="0" w:tplc="DE32CC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1CBF7598"/>
    <w:multiLevelType w:val="hybridMultilevel"/>
    <w:tmpl w:val="3176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A5EA2"/>
    <w:multiLevelType w:val="multilevel"/>
    <w:tmpl w:val="E8BAE50A"/>
    <w:numStyleLink w:val="VariantaA-odrky"/>
  </w:abstractNum>
  <w:abstractNum w:abstractNumId="11" w15:restartNumberingAfterBreak="0">
    <w:nsid w:val="2BE10CBC"/>
    <w:multiLevelType w:val="hybridMultilevel"/>
    <w:tmpl w:val="50F66D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1283E"/>
    <w:multiLevelType w:val="hybridMultilevel"/>
    <w:tmpl w:val="FE98A79A"/>
    <w:lvl w:ilvl="0" w:tplc="4C98C10A">
      <w:start w:val="1"/>
      <w:numFmt w:val="decimal"/>
      <w:lvlText w:val="%1."/>
      <w:lvlJc w:val="left"/>
      <w:pPr>
        <w:ind w:left="720" w:hanging="360"/>
      </w:pPr>
    </w:lvl>
    <w:lvl w:ilvl="1" w:tplc="432EBE60">
      <w:start w:val="1"/>
      <w:numFmt w:val="lowerLetter"/>
      <w:lvlText w:val="%2."/>
      <w:lvlJc w:val="left"/>
      <w:pPr>
        <w:ind w:left="1440" w:hanging="360"/>
      </w:pPr>
    </w:lvl>
    <w:lvl w:ilvl="2" w:tplc="1CC88CE6">
      <w:start w:val="1"/>
      <w:numFmt w:val="lowerRoman"/>
      <w:lvlText w:val="%3."/>
      <w:lvlJc w:val="right"/>
      <w:pPr>
        <w:ind w:left="2160" w:hanging="180"/>
      </w:pPr>
    </w:lvl>
    <w:lvl w:ilvl="3" w:tplc="FF32E976">
      <w:start w:val="1"/>
      <w:numFmt w:val="decimal"/>
      <w:lvlText w:val="%4."/>
      <w:lvlJc w:val="left"/>
      <w:pPr>
        <w:ind w:left="2880" w:hanging="360"/>
      </w:pPr>
    </w:lvl>
    <w:lvl w:ilvl="4" w:tplc="E7E837D8">
      <w:start w:val="1"/>
      <w:numFmt w:val="lowerLetter"/>
      <w:lvlText w:val="%5."/>
      <w:lvlJc w:val="left"/>
      <w:pPr>
        <w:ind w:left="3600" w:hanging="360"/>
      </w:pPr>
    </w:lvl>
    <w:lvl w:ilvl="5" w:tplc="AD844EA4">
      <w:start w:val="1"/>
      <w:numFmt w:val="lowerRoman"/>
      <w:lvlText w:val="%6."/>
      <w:lvlJc w:val="right"/>
      <w:pPr>
        <w:ind w:left="4320" w:hanging="180"/>
      </w:pPr>
    </w:lvl>
    <w:lvl w:ilvl="6" w:tplc="7A663B8A">
      <w:start w:val="1"/>
      <w:numFmt w:val="decimal"/>
      <w:lvlText w:val="%7."/>
      <w:lvlJc w:val="left"/>
      <w:pPr>
        <w:ind w:left="5040" w:hanging="360"/>
      </w:pPr>
    </w:lvl>
    <w:lvl w:ilvl="7" w:tplc="89DC3698">
      <w:start w:val="1"/>
      <w:numFmt w:val="lowerLetter"/>
      <w:lvlText w:val="%8."/>
      <w:lvlJc w:val="left"/>
      <w:pPr>
        <w:ind w:left="5760" w:hanging="360"/>
      </w:pPr>
    </w:lvl>
    <w:lvl w:ilvl="8" w:tplc="BC94F18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744EA"/>
    <w:multiLevelType w:val="hybridMultilevel"/>
    <w:tmpl w:val="051EA1E4"/>
    <w:lvl w:ilvl="0" w:tplc="04050001">
      <w:start w:val="1"/>
      <w:numFmt w:val="bullet"/>
      <w:lvlText w:val=""/>
      <w:lvlJc w:val="left"/>
      <w:pPr>
        <w:ind w:left="7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864" w:hanging="360"/>
      </w:pPr>
      <w:rPr>
        <w:rFonts w:ascii="Wingdings" w:hAnsi="Wingdings" w:hint="default"/>
      </w:rPr>
    </w:lvl>
  </w:abstractNum>
  <w:abstractNum w:abstractNumId="14" w15:restartNumberingAfterBreak="0">
    <w:nsid w:val="3D617B43"/>
    <w:multiLevelType w:val="hybridMultilevel"/>
    <w:tmpl w:val="072A5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D5676"/>
    <w:multiLevelType w:val="hybridMultilevel"/>
    <w:tmpl w:val="87624D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1F26F75"/>
    <w:multiLevelType w:val="hybridMultilevel"/>
    <w:tmpl w:val="B044AB16"/>
    <w:lvl w:ilvl="0" w:tplc="D6ACFD54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C7447"/>
    <w:multiLevelType w:val="hybridMultilevel"/>
    <w:tmpl w:val="35684CC8"/>
    <w:lvl w:ilvl="0" w:tplc="F12A892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0" w15:restartNumberingAfterBreak="0">
    <w:nsid w:val="5AF35F43"/>
    <w:multiLevelType w:val="multilevel"/>
    <w:tmpl w:val="0D8ABE32"/>
    <w:numStyleLink w:val="VariantaB-sla"/>
  </w:abstractNum>
  <w:abstractNum w:abstractNumId="21" w15:restartNumberingAfterBreak="0">
    <w:nsid w:val="607822A2"/>
    <w:multiLevelType w:val="hybridMultilevel"/>
    <w:tmpl w:val="B038C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24499"/>
    <w:multiLevelType w:val="hybridMultilevel"/>
    <w:tmpl w:val="C22EE600"/>
    <w:lvl w:ilvl="0" w:tplc="165AF18E">
      <w:start w:val="1"/>
      <w:numFmt w:val="decimal"/>
      <w:lvlText w:val="%1."/>
      <w:lvlJc w:val="left"/>
      <w:pPr>
        <w:ind w:left="720" w:hanging="360"/>
      </w:pPr>
    </w:lvl>
    <w:lvl w:ilvl="1" w:tplc="878C9E10">
      <w:start w:val="1"/>
      <w:numFmt w:val="lowerLetter"/>
      <w:lvlText w:val="%2."/>
      <w:lvlJc w:val="left"/>
      <w:pPr>
        <w:ind w:left="1440" w:hanging="360"/>
      </w:pPr>
    </w:lvl>
    <w:lvl w:ilvl="2" w:tplc="6F242E0C">
      <w:start w:val="1"/>
      <w:numFmt w:val="lowerRoman"/>
      <w:lvlText w:val="%3."/>
      <w:lvlJc w:val="right"/>
      <w:pPr>
        <w:ind w:left="2160" w:hanging="180"/>
      </w:pPr>
    </w:lvl>
    <w:lvl w:ilvl="3" w:tplc="EB220A60">
      <w:start w:val="1"/>
      <w:numFmt w:val="decimal"/>
      <w:lvlText w:val="%4."/>
      <w:lvlJc w:val="left"/>
      <w:pPr>
        <w:ind w:left="2880" w:hanging="360"/>
      </w:pPr>
    </w:lvl>
    <w:lvl w:ilvl="4" w:tplc="42066068">
      <w:start w:val="1"/>
      <w:numFmt w:val="lowerLetter"/>
      <w:lvlText w:val="%5."/>
      <w:lvlJc w:val="left"/>
      <w:pPr>
        <w:ind w:left="3600" w:hanging="360"/>
      </w:pPr>
    </w:lvl>
    <w:lvl w:ilvl="5" w:tplc="001689C4">
      <w:start w:val="1"/>
      <w:numFmt w:val="lowerRoman"/>
      <w:lvlText w:val="%6."/>
      <w:lvlJc w:val="right"/>
      <w:pPr>
        <w:ind w:left="4320" w:hanging="180"/>
      </w:pPr>
    </w:lvl>
    <w:lvl w:ilvl="6" w:tplc="C6AC6710">
      <w:start w:val="1"/>
      <w:numFmt w:val="decimal"/>
      <w:lvlText w:val="%7."/>
      <w:lvlJc w:val="left"/>
      <w:pPr>
        <w:ind w:left="5040" w:hanging="360"/>
      </w:pPr>
    </w:lvl>
    <w:lvl w:ilvl="7" w:tplc="5A248D06">
      <w:start w:val="1"/>
      <w:numFmt w:val="lowerLetter"/>
      <w:lvlText w:val="%8."/>
      <w:lvlJc w:val="left"/>
      <w:pPr>
        <w:ind w:left="5760" w:hanging="360"/>
      </w:pPr>
    </w:lvl>
    <w:lvl w:ilvl="8" w:tplc="8708B03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E684C"/>
    <w:multiLevelType w:val="hybridMultilevel"/>
    <w:tmpl w:val="38BAB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C508A"/>
    <w:multiLevelType w:val="hybridMultilevel"/>
    <w:tmpl w:val="F6FE3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E736B"/>
    <w:multiLevelType w:val="hybridMultilevel"/>
    <w:tmpl w:val="29E48B00"/>
    <w:lvl w:ilvl="0" w:tplc="18F60C0E">
      <w:start w:val="1"/>
      <w:numFmt w:val="decimal"/>
      <w:lvlText w:val="%1."/>
      <w:lvlJc w:val="left"/>
      <w:pPr>
        <w:ind w:left="720" w:hanging="360"/>
      </w:pPr>
    </w:lvl>
    <w:lvl w:ilvl="1" w:tplc="B3D6B78E">
      <w:start w:val="1"/>
      <w:numFmt w:val="lowerLetter"/>
      <w:lvlText w:val="%2."/>
      <w:lvlJc w:val="left"/>
      <w:pPr>
        <w:ind w:left="1440" w:hanging="360"/>
      </w:pPr>
    </w:lvl>
    <w:lvl w:ilvl="2" w:tplc="41FCDF6C">
      <w:start w:val="1"/>
      <w:numFmt w:val="lowerRoman"/>
      <w:lvlText w:val="%3."/>
      <w:lvlJc w:val="right"/>
      <w:pPr>
        <w:ind w:left="2160" w:hanging="180"/>
      </w:pPr>
    </w:lvl>
    <w:lvl w:ilvl="3" w:tplc="F364CCEA">
      <w:start w:val="1"/>
      <w:numFmt w:val="decimal"/>
      <w:lvlText w:val="%4."/>
      <w:lvlJc w:val="left"/>
      <w:pPr>
        <w:ind w:left="2880" w:hanging="360"/>
      </w:pPr>
    </w:lvl>
    <w:lvl w:ilvl="4" w:tplc="DF50C2CA">
      <w:start w:val="1"/>
      <w:numFmt w:val="lowerLetter"/>
      <w:lvlText w:val="%5."/>
      <w:lvlJc w:val="left"/>
      <w:pPr>
        <w:ind w:left="3600" w:hanging="360"/>
      </w:pPr>
    </w:lvl>
    <w:lvl w:ilvl="5" w:tplc="480441AC">
      <w:start w:val="1"/>
      <w:numFmt w:val="lowerRoman"/>
      <w:lvlText w:val="%6."/>
      <w:lvlJc w:val="right"/>
      <w:pPr>
        <w:ind w:left="4320" w:hanging="180"/>
      </w:pPr>
    </w:lvl>
    <w:lvl w:ilvl="6" w:tplc="C2523790">
      <w:start w:val="1"/>
      <w:numFmt w:val="decimal"/>
      <w:lvlText w:val="%7."/>
      <w:lvlJc w:val="left"/>
      <w:pPr>
        <w:ind w:left="5040" w:hanging="360"/>
      </w:pPr>
    </w:lvl>
    <w:lvl w:ilvl="7" w:tplc="F630560A">
      <w:start w:val="1"/>
      <w:numFmt w:val="lowerLetter"/>
      <w:lvlText w:val="%8."/>
      <w:lvlJc w:val="left"/>
      <w:pPr>
        <w:ind w:left="5760" w:hanging="360"/>
      </w:pPr>
    </w:lvl>
    <w:lvl w:ilvl="8" w:tplc="180E4D2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E66F3"/>
    <w:multiLevelType w:val="hybridMultilevel"/>
    <w:tmpl w:val="A09633C8"/>
    <w:lvl w:ilvl="0" w:tplc="F106293E">
      <w:start w:val="1"/>
      <w:numFmt w:val="decimal"/>
      <w:lvlText w:val="%1."/>
      <w:lvlJc w:val="left"/>
      <w:pPr>
        <w:ind w:left="720" w:hanging="360"/>
      </w:pPr>
    </w:lvl>
    <w:lvl w:ilvl="1" w:tplc="B8C4BD1A">
      <w:start w:val="1"/>
      <w:numFmt w:val="lowerLetter"/>
      <w:lvlText w:val="%2."/>
      <w:lvlJc w:val="left"/>
      <w:pPr>
        <w:ind w:left="1440" w:hanging="360"/>
      </w:pPr>
    </w:lvl>
    <w:lvl w:ilvl="2" w:tplc="2668AAC6">
      <w:start w:val="1"/>
      <w:numFmt w:val="lowerRoman"/>
      <w:lvlText w:val="%3."/>
      <w:lvlJc w:val="right"/>
      <w:pPr>
        <w:ind w:left="2160" w:hanging="180"/>
      </w:pPr>
    </w:lvl>
    <w:lvl w:ilvl="3" w:tplc="23CCCCD4">
      <w:start w:val="1"/>
      <w:numFmt w:val="decimal"/>
      <w:lvlText w:val="%4."/>
      <w:lvlJc w:val="left"/>
      <w:pPr>
        <w:ind w:left="2880" w:hanging="360"/>
      </w:pPr>
    </w:lvl>
    <w:lvl w:ilvl="4" w:tplc="5F2EDF44">
      <w:start w:val="1"/>
      <w:numFmt w:val="lowerLetter"/>
      <w:lvlText w:val="%5."/>
      <w:lvlJc w:val="left"/>
      <w:pPr>
        <w:ind w:left="3600" w:hanging="360"/>
      </w:pPr>
    </w:lvl>
    <w:lvl w:ilvl="5" w:tplc="CE44A388">
      <w:start w:val="1"/>
      <w:numFmt w:val="lowerRoman"/>
      <w:lvlText w:val="%6."/>
      <w:lvlJc w:val="right"/>
      <w:pPr>
        <w:ind w:left="4320" w:hanging="180"/>
      </w:pPr>
    </w:lvl>
    <w:lvl w:ilvl="6" w:tplc="2CC01508">
      <w:start w:val="1"/>
      <w:numFmt w:val="decimal"/>
      <w:lvlText w:val="%7."/>
      <w:lvlJc w:val="left"/>
      <w:pPr>
        <w:ind w:left="5040" w:hanging="360"/>
      </w:pPr>
    </w:lvl>
    <w:lvl w:ilvl="7" w:tplc="4F0AC620">
      <w:start w:val="1"/>
      <w:numFmt w:val="lowerLetter"/>
      <w:lvlText w:val="%8."/>
      <w:lvlJc w:val="left"/>
      <w:pPr>
        <w:ind w:left="5760" w:hanging="360"/>
      </w:pPr>
    </w:lvl>
    <w:lvl w:ilvl="8" w:tplc="3BDA91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7"/>
  </w:num>
  <w:num w:numId="4">
    <w:abstractNumId w:val="19"/>
  </w:num>
  <w:num w:numId="5">
    <w:abstractNumId w:val="16"/>
  </w:num>
  <w:num w:numId="6">
    <w:abstractNumId w:val="0"/>
  </w:num>
  <w:num w:numId="7">
    <w:abstractNumId w:val="20"/>
  </w:num>
  <w:num w:numId="8">
    <w:abstractNumId w:val="10"/>
  </w:num>
  <w:num w:numId="9">
    <w:abstractNumId w:val="8"/>
  </w:num>
  <w:num w:numId="10">
    <w:abstractNumId w:val="5"/>
  </w:num>
  <w:num w:numId="11">
    <w:abstractNumId w:val="3"/>
  </w:num>
  <w:num w:numId="12">
    <w:abstractNumId w:val="14"/>
  </w:num>
  <w:num w:numId="13">
    <w:abstractNumId w:val="21"/>
  </w:num>
  <w:num w:numId="14">
    <w:abstractNumId w:val="17"/>
  </w:num>
  <w:num w:numId="15">
    <w:abstractNumId w:val="13"/>
  </w:num>
  <w:num w:numId="16">
    <w:abstractNumId w:val="15"/>
  </w:num>
  <w:num w:numId="17">
    <w:abstractNumId w:val="6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24"/>
  </w:num>
  <w:num w:numId="24">
    <w:abstractNumId w:val="9"/>
  </w:num>
  <w:num w:numId="25">
    <w:abstractNumId w:val="18"/>
  </w:num>
  <w:num w:numId="26">
    <w:abstractNumId w:val="2"/>
  </w:num>
  <w:num w:numId="27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CF"/>
    <w:rsid w:val="00004BA4"/>
    <w:rsid w:val="00012B0F"/>
    <w:rsid w:val="00015306"/>
    <w:rsid w:val="00022377"/>
    <w:rsid w:val="0002674B"/>
    <w:rsid w:val="00030685"/>
    <w:rsid w:val="00033A93"/>
    <w:rsid w:val="000340F3"/>
    <w:rsid w:val="00034F4B"/>
    <w:rsid w:val="000367FF"/>
    <w:rsid w:val="0004162E"/>
    <w:rsid w:val="0004786B"/>
    <w:rsid w:val="00050C4C"/>
    <w:rsid w:val="000544CD"/>
    <w:rsid w:val="00055088"/>
    <w:rsid w:val="00060BFB"/>
    <w:rsid w:val="00063405"/>
    <w:rsid w:val="000679BB"/>
    <w:rsid w:val="00070134"/>
    <w:rsid w:val="00070F7C"/>
    <w:rsid w:val="000809B9"/>
    <w:rsid w:val="00081843"/>
    <w:rsid w:val="00083DF4"/>
    <w:rsid w:val="00084FC1"/>
    <w:rsid w:val="00084FFC"/>
    <w:rsid w:val="00090B40"/>
    <w:rsid w:val="00095A0A"/>
    <w:rsid w:val="00095EBD"/>
    <w:rsid w:val="000A6F91"/>
    <w:rsid w:val="000B1B3D"/>
    <w:rsid w:val="000B75FA"/>
    <w:rsid w:val="000C0598"/>
    <w:rsid w:val="000C4CAF"/>
    <w:rsid w:val="000C57CB"/>
    <w:rsid w:val="000C74A7"/>
    <w:rsid w:val="000D15DD"/>
    <w:rsid w:val="000D1B33"/>
    <w:rsid w:val="000D5FF3"/>
    <w:rsid w:val="000D652B"/>
    <w:rsid w:val="000D654F"/>
    <w:rsid w:val="000E2207"/>
    <w:rsid w:val="000F520D"/>
    <w:rsid w:val="00110F85"/>
    <w:rsid w:val="00121485"/>
    <w:rsid w:val="0012500F"/>
    <w:rsid w:val="001268B0"/>
    <w:rsid w:val="0013655A"/>
    <w:rsid w:val="00142168"/>
    <w:rsid w:val="00143AA9"/>
    <w:rsid w:val="0015052B"/>
    <w:rsid w:val="00150644"/>
    <w:rsid w:val="00154B73"/>
    <w:rsid w:val="00165F40"/>
    <w:rsid w:val="0017296A"/>
    <w:rsid w:val="001745AA"/>
    <w:rsid w:val="00174DAD"/>
    <w:rsid w:val="0017585E"/>
    <w:rsid w:val="0018051B"/>
    <w:rsid w:val="00181B20"/>
    <w:rsid w:val="00182AF6"/>
    <w:rsid w:val="00185CE0"/>
    <w:rsid w:val="001B1E4A"/>
    <w:rsid w:val="001B2012"/>
    <w:rsid w:val="001B3E8E"/>
    <w:rsid w:val="001B58AA"/>
    <w:rsid w:val="001C4DFD"/>
    <w:rsid w:val="001D27C0"/>
    <w:rsid w:val="001D72D6"/>
    <w:rsid w:val="001E2A6F"/>
    <w:rsid w:val="001E74C3"/>
    <w:rsid w:val="001F32B2"/>
    <w:rsid w:val="001F6937"/>
    <w:rsid w:val="00200F11"/>
    <w:rsid w:val="00203660"/>
    <w:rsid w:val="00207FC3"/>
    <w:rsid w:val="00215D05"/>
    <w:rsid w:val="00220DE3"/>
    <w:rsid w:val="002259F5"/>
    <w:rsid w:val="0023011C"/>
    <w:rsid w:val="002424D3"/>
    <w:rsid w:val="00251326"/>
    <w:rsid w:val="0025290D"/>
    <w:rsid w:val="00257664"/>
    <w:rsid w:val="00260372"/>
    <w:rsid w:val="00262DAF"/>
    <w:rsid w:val="00266D99"/>
    <w:rsid w:val="00272896"/>
    <w:rsid w:val="00285AED"/>
    <w:rsid w:val="00287483"/>
    <w:rsid w:val="002957D8"/>
    <w:rsid w:val="002961AA"/>
    <w:rsid w:val="002A524F"/>
    <w:rsid w:val="002C20CF"/>
    <w:rsid w:val="002C3478"/>
    <w:rsid w:val="002C4FCC"/>
    <w:rsid w:val="002C7976"/>
    <w:rsid w:val="002D2B80"/>
    <w:rsid w:val="002D3BBF"/>
    <w:rsid w:val="002E19BA"/>
    <w:rsid w:val="002E2442"/>
    <w:rsid w:val="002E6A51"/>
    <w:rsid w:val="002F0E8C"/>
    <w:rsid w:val="002F1D49"/>
    <w:rsid w:val="00304970"/>
    <w:rsid w:val="00307D70"/>
    <w:rsid w:val="00310FA0"/>
    <w:rsid w:val="0031144B"/>
    <w:rsid w:val="00320481"/>
    <w:rsid w:val="00323B07"/>
    <w:rsid w:val="003250CB"/>
    <w:rsid w:val="00327136"/>
    <w:rsid w:val="00333A9E"/>
    <w:rsid w:val="00342FEB"/>
    <w:rsid w:val="003462D1"/>
    <w:rsid w:val="00351CAF"/>
    <w:rsid w:val="00363201"/>
    <w:rsid w:val="00363990"/>
    <w:rsid w:val="0037459F"/>
    <w:rsid w:val="00377365"/>
    <w:rsid w:val="0039063C"/>
    <w:rsid w:val="00394CB9"/>
    <w:rsid w:val="00396173"/>
    <w:rsid w:val="003A12B0"/>
    <w:rsid w:val="003A46A8"/>
    <w:rsid w:val="003A51AA"/>
    <w:rsid w:val="003A6DFC"/>
    <w:rsid w:val="003B0BC8"/>
    <w:rsid w:val="003B0E92"/>
    <w:rsid w:val="003B565A"/>
    <w:rsid w:val="003C07CA"/>
    <w:rsid w:val="003D00A1"/>
    <w:rsid w:val="003D3067"/>
    <w:rsid w:val="003E717D"/>
    <w:rsid w:val="003F4151"/>
    <w:rsid w:val="003F4D6A"/>
    <w:rsid w:val="004037E0"/>
    <w:rsid w:val="00406F22"/>
    <w:rsid w:val="0041427F"/>
    <w:rsid w:val="00415985"/>
    <w:rsid w:val="00417D3E"/>
    <w:rsid w:val="00421368"/>
    <w:rsid w:val="00436A3E"/>
    <w:rsid w:val="004509E5"/>
    <w:rsid w:val="00452714"/>
    <w:rsid w:val="00455EDA"/>
    <w:rsid w:val="0045795D"/>
    <w:rsid w:val="00464ED8"/>
    <w:rsid w:val="00465830"/>
    <w:rsid w:val="00473F0F"/>
    <w:rsid w:val="00484616"/>
    <w:rsid w:val="00486FB9"/>
    <w:rsid w:val="00493245"/>
    <w:rsid w:val="004A1340"/>
    <w:rsid w:val="004A453B"/>
    <w:rsid w:val="004B43DB"/>
    <w:rsid w:val="004B591D"/>
    <w:rsid w:val="004B5C41"/>
    <w:rsid w:val="004C212A"/>
    <w:rsid w:val="004C62F8"/>
    <w:rsid w:val="004D6663"/>
    <w:rsid w:val="004E6019"/>
    <w:rsid w:val="004E60C4"/>
    <w:rsid w:val="004F32C0"/>
    <w:rsid w:val="00500232"/>
    <w:rsid w:val="005015C4"/>
    <w:rsid w:val="0050427C"/>
    <w:rsid w:val="00504668"/>
    <w:rsid w:val="00504DF6"/>
    <w:rsid w:val="00506CE5"/>
    <w:rsid w:val="005119E2"/>
    <w:rsid w:val="00511ECB"/>
    <w:rsid w:val="00516852"/>
    <w:rsid w:val="00520D6A"/>
    <w:rsid w:val="005215ED"/>
    <w:rsid w:val="00521823"/>
    <w:rsid w:val="00535C31"/>
    <w:rsid w:val="00536992"/>
    <w:rsid w:val="00537529"/>
    <w:rsid w:val="0054472B"/>
    <w:rsid w:val="005455E1"/>
    <w:rsid w:val="005475D8"/>
    <w:rsid w:val="005502BD"/>
    <w:rsid w:val="00556787"/>
    <w:rsid w:val="0055690D"/>
    <w:rsid w:val="00560550"/>
    <w:rsid w:val="00566AA0"/>
    <w:rsid w:val="00580A0C"/>
    <w:rsid w:val="00581A18"/>
    <w:rsid w:val="00582276"/>
    <w:rsid w:val="00583416"/>
    <w:rsid w:val="00586036"/>
    <w:rsid w:val="005905DC"/>
    <w:rsid w:val="00590DEF"/>
    <w:rsid w:val="00594325"/>
    <w:rsid w:val="005B0632"/>
    <w:rsid w:val="005B277B"/>
    <w:rsid w:val="005B2EAA"/>
    <w:rsid w:val="005B3665"/>
    <w:rsid w:val="005B3F5C"/>
    <w:rsid w:val="005B7FDF"/>
    <w:rsid w:val="005C0EED"/>
    <w:rsid w:val="005C2560"/>
    <w:rsid w:val="005C4A4F"/>
    <w:rsid w:val="005C4AD7"/>
    <w:rsid w:val="005D1A33"/>
    <w:rsid w:val="005D615B"/>
    <w:rsid w:val="005E15AB"/>
    <w:rsid w:val="005F48D9"/>
    <w:rsid w:val="005F49FF"/>
    <w:rsid w:val="005F6DC5"/>
    <w:rsid w:val="005F7585"/>
    <w:rsid w:val="00603DA9"/>
    <w:rsid w:val="00604AC3"/>
    <w:rsid w:val="00605759"/>
    <w:rsid w:val="00610006"/>
    <w:rsid w:val="00625FC9"/>
    <w:rsid w:val="00636E0D"/>
    <w:rsid w:val="00641110"/>
    <w:rsid w:val="00644661"/>
    <w:rsid w:val="00650C6C"/>
    <w:rsid w:val="00652FE6"/>
    <w:rsid w:val="0065469A"/>
    <w:rsid w:val="00654BC3"/>
    <w:rsid w:val="006564E6"/>
    <w:rsid w:val="00656B31"/>
    <w:rsid w:val="00660826"/>
    <w:rsid w:val="00661D22"/>
    <w:rsid w:val="00667898"/>
    <w:rsid w:val="006737B9"/>
    <w:rsid w:val="00677FE0"/>
    <w:rsid w:val="00693EBA"/>
    <w:rsid w:val="006953C3"/>
    <w:rsid w:val="006A1274"/>
    <w:rsid w:val="006B258F"/>
    <w:rsid w:val="006B326A"/>
    <w:rsid w:val="006B6764"/>
    <w:rsid w:val="006C30EB"/>
    <w:rsid w:val="006C5411"/>
    <w:rsid w:val="006D04EF"/>
    <w:rsid w:val="006D10DE"/>
    <w:rsid w:val="006E0EF7"/>
    <w:rsid w:val="006E2FB0"/>
    <w:rsid w:val="006F1BEA"/>
    <w:rsid w:val="007004D9"/>
    <w:rsid w:val="007102D2"/>
    <w:rsid w:val="0071196C"/>
    <w:rsid w:val="00712D72"/>
    <w:rsid w:val="00713948"/>
    <w:rsid w:val="0072532F"/>
    <w:rsid w:val="0072734C"/>
    <w:rsid w:val="00741CC4"/>
    <w:rsid w:val="00741CFD"/>
    <w:rsid w:val="00741E3B"/>
    <w:rsid w:val="007464C7"/>
    <w:rsid w:val="00753A27"/>
    <w:rsid w:val="00757566"/>
    <w:rsid w:val="00790AB2"/>
    <w:rsid w:val="007910A5"/>
    <w:rsid w:val="0079342A"/>
    <w:rsid w:val="00795BDC"/>
    <w:rsid w:val="007A2737"/>
    <w:rsid w:val="007A5188"/>
    <w:rsid w:val="007A6F3C"/>
    <w:rsid w:val="007B0FFC"/>
    <w:rsid w:val="007B2103"/>
    <w:rsid w:val="007B24DF"/>
    <w:rsid w:val="007B41B8"/>
    <w:rsid w:val="007B4949"/>
    <w:rsid w:val="007C0788"/>
    <w:rsid w:val="007C6A25"/>
    <w:rsid w:val="007E00C6"/>
    <w:rsid w:val="007E55C0"/>
    <w:rsid w:val="007F0BC6"/>
    <w:rsid w:val="007F5024"/>
    <w:rsid w:val="00804931"/>
    <w:rsid w:val="00810BEE"/>
    <w:rsid w:val="00831374"/>
    <w:rsid w:val="008458FD"/>
    <w:rsid w:val="00852465"/>
    <w:rsid w:val="00854034"/>
    <w:rsid w:val="00857580"/>
    <w:rsid w:val="00864844"/>
    <w:rsid w:val="00865238"/>
    <w:rsid w:val="0086593D"/>
    <w:rsid w:val="00866685"/>
    <w:rsid w:val="008667BF"/>
    <w:rsid w:val="008677A5"/>
    <w:rsid w:val="00871E23"/>
    <w:rsid w:val="00872FA4"/>
    <w:rsid w:val="00875C21"/>
    <w:rsid w:val="00895645"/>
    <w:rsid w:val="008A3CDA"/>
    <w:rsid w:val="008A7851"/>
    <w:rsid w:val="008B1BF4"/>
    <w:rsid w:val="008B40DF"/>
    <w:rsid w:val="008B6782"/>
    <w:rsid w:val="008C05AD"/>
    <w:rsid w:val="008C235C"/>
    <w:rsid w:val="008C3782"/>
    <w:rsid w:val="008D4A32"/>
    <w:rsid w:val="008D52A7"/>
    <w:rsid w:val="008D593A"/>
    <w:rsid w:val="008E3468"/>
    <w:rsid w:val="008E69EC"/>
    <w:rsid w:val="008E7760"/>
    <w:rsid w:val="008F2EDF"/>
    <w:rsid w:val="008F4DAB"/>
    <w:rsid w:val="0090206D"/>
    <w:rsid w:val="00904992"/>
    <w:rsid w:val="0091015F"/>
    <w:rsid w:val="00914682"/>
    <w:rsid w:val="00916CC6"/>
    <w:rsid w:val="0091766D"/>
    <w:rsid w:val="00922001"/>
    <w:rsid w:val="00922C17"/>
    <w:rsid w:val="00927710"/>
    <w:rsid w:val="009325EA"/>
    <w:rsid w:val="009408DB"/>
    <w:rsid w:val="00942DDD"/>
    <w:rsid w:val="00950ADA"/>
    <w:rsid w:val="009516A8"/>
    <w:rsid w:val="0095286D"/>
    <w:rsid w:val="0096299A"/>
    <w:rsid w:val="009631ED"/>
    <w:rsid w:val="0096324D"/>
    <w:rsid w:val="00966DD7"/>
    <w:rsid w:val="00971B4F"/>
    <w:rsid w:val="0097223C"/>
    <w:rsid w:val="00974A80"/>
    <w:rsid w:val="0097705C"/>
    <w:rsid w:val="0098436E"/>
    <w:rsid w:val="00984C49"/>
    <w:rsid w:val="00984EFC"/>
    <w:rsid w:val="00985E5A"/>
    <w:rsid w:val="00996DF6"/>
    <w:rsid w:val="009A068A"/>
    <w:rsid w:val="009B503A"/>
    <w:rsid w:val="009B67FC"/>
    <w:rsid w:val="009C04D3"/>
    <w:rsid w:val="009C1C3A"/>
    <w:rsid w:val="009C4852"/>
    <w:rsid w:val="009C5529"/>
    <w:rsid w:val="009C7974"/>
    <w:rsid w:val="009D1EAD"/>
    <w:rsid w:val="009D2A2C"/>
    <w:rsid w:val="009D5A1A"/>
    <w:rsid w:val="009E42FD"/>
    <w:rsid w:val="009E6FA9"/>
    <w:rsid w:val="009F0846"/>
    <w:rsid w:val="009F1049"/>
    <w:rsid w:val="009F393D"/>
    <w:rsid w:val="009F4542"/>
    <w:rsid w:val="009F7E3A"/>
    <w:rsid w:val="009F7F40"/>
    <w:rsid w:val="009F7F46"/>
    <w:rsid w:val="00A00050"/>
    <w:rsid w:val="00A000BF"/>
    <w:rsid w:val="00A0587E"/>
    <w:rsid w:val="00A1242E"/>
    <w:rsid w:val="00A13BB7"/>
    <w:rsid w:val="00A179DF"/>
    <w:rsid w:val="00A24C1F"/>
    <w:rsid w:val="00A25646"/>
    <w:rsid w:val="00A275BC"/>
    <w:rsid w:val="00A356B5"/>
    <w:rsid w:val="00A464B4"/>
    <w:rsid w:val="00A46D09"/>
    <w:rsid w:val="00A63D6B"/>
    <w:rsid w:val="00A64EEF"/>
    <w:rsid w:val="00A6645C"/>
    <w:rsid w:val="00A77CF4"/>
    <w:rsid w:val="00A81726"/>
    <w:rsid w:val="00A844B9"/>
    <w:rsid w:val="00A84B52"/>
    <w:rsid w:val="00A84F7F"/>
    <w:rsid w:val="00A8660F"/>
    <w:rsid w:val="00A86B04"/>
    <w:rsid w:val="00A87B13"/>
    <w:rsid w:val="00A95C48"/>
    <w:rsid w:val="00AA2A06"/>
    <w:rsid w:val="00AA7056"/>
    <w:rsid w:val="00AB31C6"/>
    <w:rsid w:val="00AB4061"/>
    <w:rsid w:val="00AB523B"/>
    <w:rsid w:val="00AB5406"/>
    <w:rsid w:val="00AC2F11"/>
    <w:rsid w:val="00AD63A5"/>
    <w:rsid w:val="00AD7E40"/>
    <w:rsid w:val="00AF2591"/>
    <w:rsid w:val="00AF2980"/>
    <w:rsid w:val="00AF3BAB"/>
    <w:rsid w:val="00AF7A11"/>
    <w:rsid w:val="00B10466"/>
    <w:rsid w:val="00B1114A"/>
    <w:rsid w:val="00B130D1"/>
    <w:rsid w:val="00B1477A"/>
    <w:rsid w:val="00B1729A"/>
    <w:rsid w:val="00B20993"/>
    <w:rsid w:val="00B30A33"/>
    <w:rsid w:val="00B31350"/>
    <w:rsid w:val="00B33950"/>
    <w:rsid w:val="00B42E96"/>
    <w:rsid w:val="00B50EE6"/>
    <w:rsid w:val="00B52185"/>
    <w:rsid w:val="00B533AA"/>
    <w:rsid w:val="00B65B44"/>
    <w:rsid w:val="00B72E51"/>
    <w:rsid w:val="00B7463C"/>
    <w:rsid w:val="00B94A2A"/>
    <w:rsid w:val="00B9753A"/>
    <w:rsid w:val="00BA6F07"/>
    <w:rsid w:val="00BB18CC"/>
    <w:rsid w:val="00BB479C"/>
    <w:rsid w:val="00BC3060"/>
    <w:rsid w:val="00BC4720"/>
    <w:rsid w:val="00BC66C0"/>
    <w:rsid w:val="00BD0B80"/>
    <w:rsid w:val="00BD4402"/>
    <w:rsid w:val="00BD75A2"/>
    <w:rsid w:val="00C024D1"/>
    <w:rsid w:val="00C0471B"/>
    <w:rsid w:val="00C0781D"/>
    <w:rsid w:val="00C1067B"/>
    <w:rsid w:val="00C11681"/>
    <w:rsid w:val="00C12FA4"/>
    <w:rsid w:val="00C164C1"/>
    <w:rsid w:val="00C2017A"/>
    <w:rsid w:val="00C2026B"/>
    <w:rsid w:val="00C20470"/>
    <w:rsid w:val="00C21E49"/>
    <w:rsid w:val="00C25B2F"/>
    <w:rsid w:val="00C34B2F"/>
    <w:rsid w:val="00C35F29"/>
    <w:rsid w:val="00C40AA7"/>
    <w:rsid w:val="00C4641B"/>
    <w:rsid w:val="00C46EB1"/>
    <w:rsid w:val="00C6690E"/>
    <w:rsid w:val="00C703C5"/>
    <w:rsid w:val="00C74E93"/>
    <w:rsid w:val="00C805F2"/>
    <w:rsid w:val="00C81828"/>
    <w:rsid w:val="00C87389"/>
    <w:rsid w:val="00C925FB"/>
    <w:rsid w:val="00C92B68"/>
    <w:rsid w:val="00C96099"/>
    <w:rsid w:val="00C96EFE"/>
    <w:rsid w:val="00CA2581"/>
    <w:rsid w:val="00CA4EEC"/>
    <w:rsid w:val="00CB734D"/>
    <w:rsid w:val="00CB7CDA"/>
    <w:rsid w:val="00CB7EB2"/>
    <w:rsid w:val="00CC42B1"/>
    <w:rsid w:val="00CC5B52"/>
    <w:rsid w:val="00CC5E40"/>
    <w:rsid w:val="00CC6FD8"/>
    <w:rsid w:val="00CD35E2"/>
    <w:rsid w:val="00CD68E8"/>
    <w:rsid w:val="00CE0581"/>
    <w:rsid w:val="00CE1732"/>
    <w:rsid w:val="00CF104D"/>
    <w:rsid w:val="00CF21D8"/>
    <w:rsid w:val="00CF3324"/>
    <w:rsid w:val="00CF3892"/>
    <w:rsid w:val="00D02748"/>
    <w:rsid w:val="00D10829"/>
    <w:rsid w:val="00D113D9"/>
    <w:rsid w:val="00D1569F"/>
    <w:rsid w:val="00D20B1E"/>
    <w:rsid w:val="00D22462"/>
    <w:rsid w:val="00D230AC"/>
    <w:rsid w:val="00D31C27"/>
    <w:rsid w:val="00D32489"/>
    <w:rsid w:val="00D3349E"/>
    <w:rsid w:val="00D34AAD"/>
    <w:rsid w:val="00D43F00"/>
    <w:rsid w:val="00D45861"/>
    <w:rsid w:val="00D656BF"/>
    <w:rsid w:val="00D71EF7"/>
    <w:rsid w:val="00D73CB8"/>
    <w:rsid w:val="00D76F54"/>
    <w:rsid w:val="00D859E1"/>
    <w:rsid w:val="00D909C0"/>
    <w:rsid w:val="00D95BB5"/>
    <w:rsid w:val="00DA201A"/>
    <w:rsid w:val="00DA7591"/>
    <w:rsid w:val="00DB2850"/>
    <w:rsid w:val="00DB2B22"/>
    <w:rsid w:val="00DB3507"/>
    <w:rsid w:val="00DB6F34"/>
    <w:rsid w:val="00DB7531"/>
    <w:rsid w:val="00DC1DBE"/>
    <w:rsid w:val="00DC49F4"/>
    <w:rsid w:val="00DC4A4A"/>
    <w:rsid w:val="00DC646D"/>
    <w:rsid w:val="00DE0ED4"/>
    <w:rsid w:val="00DE32F7"/>
    <w:rsid w:val="00DE4714"/>
    <w:rsid w:val="00DF1507"/>
    <w:rsid w:val="00DFFB04"/>
    <w:rsid w:val="00E0499D"/>
    <w:rsid w:val="00E1046C"/>
    <w:rsid w:val="00E16981"/>
    <w:rsid w:val="00E237E4"/>
    <w:rsid w:val="00E27FD7"/>
    <w:rsid w:val="00E32798"/>
    <w:rsid w:val="00E33CC8"/>
    <w:rsid w:val="00E36F74"/>
    <w:rsid w:val="00E43F0A"/>
    <w:rsid w:val="00E50D1B"/>
    <w:rsid w:val="00E51C91"/>
    <w:rsid w:val="00E55090"/>
    <w:rsid w:val="00E55C51"/>
    <w:rsid w:val="00E55FC4"/>
    <w:rsid w:val="00E56C7A"/>
    <w:rsid w:val="00E56F24"/>
    <w:rsid w:val="00E667C1"/>
    <w:rsid w:val="00E67EEC"/>
    <w:rsid w:val="00E7147F"/>
    <w:rsid w:val="00E74329"/>
    <w:rsid w:val="00E85E86"/>
    <w:rsid w:val="00E91729"/>
    <w:rsid w:val="00EC0F88"/>
    <w:rsid w:val="00EC3217"/>
    <w:rsid w:val="00EC3F88"/>
    <w:rsid w:val="00EC57A1"/>
    <w:rsid w:val="00EC7C2C"/>
    <w:rsid w:val="00ED337B"/>
    <w:rsid w:val="00ED36D8"/>
    <w:rsid w:val="00ED612A"/>
    <w:rsid w:val="00EE271E"/>
    <w:rsid w:val="00EE684E"/>
    <w:rsid w:val="00EE6AFD"/>
    <w:rsid w:val="00EE6BD7"/>
    <w:rsid w:val="00EF374D"/>
    <w:rsid w:val="00EF487E"/>
    <w:rsid w:val="00F01755"/>
    <w:rsid w:val="00F0298B"/>
    <w:rsid w:val="00F039B8"/>
    <w:rsid w:val="00F04CC6"/>
    <w:rsid w:val="00F054D8"/>
    <w:rsid w:val="00F0689D"/>
    <w:rsid w:val="00F1568F"/>
    <w:rsid w:val="00F1576D"/>
    <w:rsid w:val="00F177F7"/>
    <w:rsid w:val="00F177FD"/>
    <w:rsid w:val="00F214B9"/>
    <w:rsid w:val="00F22C31"/>
    <w:rsid w:val="00F22C75"/>
    <w:rsid w:val="00F30ADD"/>
    <w:rsid w:val="00F3526D"/>
    <w:rsid w:val="00F36A11"/>
    <w:rsid w:val="00F53227"/>
    <w:rsid w:val="00F5407D"/>
    <w:rsid w:val="00F6450A"/>
    <w:rsid w:val="00F7017B"/>
    <w:rsid w:val="00F73972"/>
    <w:rsid w:val="00F8491A"/>
    <w:rsid w:val="00F91337"/>
    <w:rsid w:val="00F97632"/>
    <w:rsid w:val="00F97A9F"/>
    <w:rsid w:val="00FA7110"/>
    <w:rsid w:val="00FB01B5"/>
    <w:rsid w:val="00FB07D8"/>
    <w:rsid w:val="00FB0A95"/>
    <w:rsid w:val="00FB1915"/>
    <w:rsid w:val="00FB2FFA"/>
    <w:rsid w:val="00FC0513"/>
    <w:rsid w:val="00FC1EAD"/>
    <w:rsid w:val="00FC39F6"/>
    <w:rsid w:val="00FC6325"/>
    <w:rsid w:val="00FD1774"/>
    <w:rsid w:val="00FD4275"/>
    <w:rsid w:val="00FD7DF6"/>
    <w:rsid w:val="00FE424C"/>
    <w:rsid w:val="0334C9F3"/>
    <w:rsid w:val="03876752"/>
    <w:rsid w:val="04A4675F"/>
    <w:rsid w:val="04DDF154"/>
    <w:rsid w:val="0622AFA8"/>
    <w:rsid w:val="06302BD9"/>
    <w:rsid w:val="06B77E41"/>
    <w:rsid w:val="06D4F783"/>
    <w:rsid w:val="06F03205"/>
    <w:rsid w:val="07090A9A"/>
    <w:rsid w:val="0837E8B1"/>
    <w:rsid w:val="08918AEE"/>
    <w:rsid w:val="09350ABC"/>
    <w:rsid w:val="0ADB29EF"/>
    <w:rsid w:val="0B5117EE"/>
    <w:rsid w:val="0CAFD7AD"/>
    <w:rsid w:val="0D0F5F4E"/>
    <w:rsid w:val="0E9667B2"/>
    <w:rsid w:val="0E98BBA9"/>
    <w:rsid w:val="0EDAB616"/>
    <w:rsid w:val="112392EC"/>
    <w:rsid w:val="1195E3C8"/>
    <w:rsid w:val="1198EB96"/>
    <w:rsid w:val="11E91632"/>
    <w:rsid w:val="122491B7"/>
    <w:rsid w:val="124A7A21"/>
    <w:rsid w:val="12783532"/>
    <w:rsid w:val="136A161B"/>
    <w:rsid w:val="148AFDF1"/>
    <w:rsid w:val="14B8B5FC"/>
    <w:rsid w:val="14C7A198"/>
    <w:rsid w:val="1506B0E0"/>
    <w:rsid w:val="16744944"/>
    <w:rsid w:val="16B58572"/>
    <w:rsid w:val="188EF1A1"/>
    <w:rsid w:val="1996EC18"/>
    <w:rsid w:val="1A78D695"/>
    <w:rsid w:val="1BACE4C4"/>
    <w:rsid w:val="1C2F83AF"/>
    <w:rsid w:val="1C5B5A93"/>
    <w:rsid w:val="1DB896B3"/>
    <w:rsid w:val="1DF21103"/>
    <w:rsid w:val="1EB77764"/>
    <w:rsid w:val="1F32AE44"/>
    <w:rsid w:val="1FD731B5"/>
    <w:rsid w:val="201B6DFD"/>
    <w:rsid w:val="2117C584"/>
    <w:rsid w:val="213CC782"/>
    <w:rsid w:val="21B28DBC"/>
    <w:rsid w:val="21F7C088"/>
    <w:rsid w:val="249FC754"/>
    <w:rsid w:val="24A56211"/>
    <w:rsid w:val="24C62D0D"/>
    <w:rsid w:val="2672D943"/>
    <w:rsid w:val="27213FA5"/>
    <w:rsid w:val="273E3BEE"/>
    <w:rsid w:val="27743CAA"/>
    <w:rsid w:val="277AD602"/>
    <w:rsid w:val="282628C6"/>
    <w:rsid w:val="29A5A6DA"/>
    <w:rsid w:val="29C6B447"/>
    <w:rsid w:val="2A6CD32C"/>
    <w:rsid w:val="2B3CC949"/>
    <w:rsid w:val="2B54F587"/>
    <w:rsid w:val="2B7D270A"/>
    <w:rsid w:val="2C667719"/>
    <w:rsid w:val="2C7C759A"/>
    <w:rsid w:val="2E04AAEA"/>
    <w:rsid w:val="2F20F703"/>
    <w:rsid w:val="2FAFC0CF"/>
    <w:rsid w:val="3097E1B1"/>
    <w:rsid w:val="30A0DC28"/>
    <w:rsid w:val="30EF90C2"/>
    <w:rsid w:val="339BA3EE"/>
    <w:rsid w:val="3501A8B0"/>
    <w:rsid w:val="358B5ED8"/>
    <w:rsid w:val="3633F226"/>
    <w:rsid w:val="365A6BF4"/>
    <w:rsid w:val="38304328"/>
    <w:rsid w:val="39AB16E1"/>
    <w:rsid w:val="3A762CD5"/>
    <w:rsid w:val="3AFF4BFE"/>
    <w:rsid w:val="3B906618"/>
    <w:rsid w:val="3BE6D5A8"/>
    <w:rsid w:val="3C28EEA5"/>
    <w:rsid w:val="3C3F2822"/>
    <w:rsid w:val="3D2ACBB9"/>
    <w:rsid w:val="3E5C1216"/>
    <w:rsid w:val="413ECA83"/>
    <w:rsid w:val="4194E152"/>
    <w:rsid w:val="421F9075"/>
    <w:rsid w:val="428926D9"/>
    <w:rsid w:val="440B784B"/>
    <w:rsid w:val="44366CC6"/>
    <w:rsid w:val="4452C687"/>
    <w:rsid w:val="446956B1"/>
    <w:rsid w:val="455F8349"/>
    <w:rsid w:val="46C7718B"/>
    <w:rsid w:val="470D28E8"/>
    <w:rsid w:val="481CD7B3"/>
    <w:rsid w:val="489B7801"/>
    <w:rsid w:val="48E6EA9B"/>
    <w:rsid w:val="48FCBEA5"/>
    <w:rsid w:val="4913C566"/>
    <w:rsid w:val="49676776"/>
    <w:rsid w:val="4A0A7DB1"/>
    <w:rsid w:val="4AAC08DD"/>
    <w:rsid w:val="4AB8D8F5"/>
    <w:rsid w:val="4AD65116"/>
    <w:rsid w:val="4B123830"/>
    <w:rsid w:val="4BBF75C1"/>
    <w:rsid w:val="4C6023EB"/>
    <w:rsid w:val="4C8AAF38"/>
    <w:rsid w:val="4D36C82C"/>
    <w:rsid w:val="4D7CB970"/>
    <w:rsid w:val="4E272D22"/>
    <w:rsid w:val="4EBFEEDC"/>
    <w:rsid w:val="4F248655"/>
    <w:rsid w:val="4F27784F"/>
    <w:rsid w:val="4FEE13E6"/>
    <w:rsid w:val="50E5C733"/>
    <w:rsid w:val="51705736"/>
    <w:rsid w:val="52F02A2C"/>
    <w:rsid w:val="52F801A2"/>
    <w:rsid w:val="53087C54"/>
    <w:rsid w:val="53690F09"/>
    <w:rsid w:val="5600A35A"/>
    <w:rsid w:val="56E049E5"/>
    <w:rsid w:val="572478D4"/>
    <w:rsid w:val="5774BE9C"/>
    <w:rsid w:val="578628C3"/>
    <w:rsid w:val="5802085C"/>
    <w:rsid w:val="5A08F6DA"/>
    <w:rsid w:val="5A510727"/>
    <w:rsid w:val="5BACE44F"/>
    <w:rsid w:val="5BB0F881"/>
    <w:rsid w:val="5E9AEB80"/>
    <w:rsid w:val="5F3F3E2A"/>
    <w:rsid w:val="62ACA6D6"/>
    <w:rsid w:val="6369B873"/>
    <w:rsid w:val="63D07703"/>
    <w:rsid w:val="64681E0D"/>
    <w:rsid w:val="653928D3"/>
    <w:rsid w:val="681140D5"/>
    <w:rsid w:val="68BFB6A4"/>
    <w:rsid w:val="696FF93E"/>
    <w:rsid w:val="6C4EFFB2"/>
    <w:rsid w:val="6E364E2E"/>
    <w:rsid w:val="6F9E1EA3"/>
    <w:rsid w:val="70ED7EE9"/>
    <w:rsid w:val="71E84B65"/>
    <w:rsid w:val="7373BD8A"/>
    <w:rsid w:val="73C44DA9"/>
    <w:rsid w:val="73C8EB26"/>
    <w:rsid w:val="73F7F426"/>
    <w:rsid w:val="75780517"/>
    <w:rsid w:val="75B88526"/>
    <w:rsid w:val="7737107F"/>
    <w:rsid w:val="781D7659"/>
    <w:rsid w:val="7B4DB326"/>
    <w:rsid w:val="7CDA0F59"/>
    <w:rsid w:val="7D29313F"/>
    <w:rsid w:val="7E9D7077"/>
    <w:rsid w:val="7EDC2A85"/>
    <w:rsid w:val="7FF8F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A4DFC7"/>
  <w15:chartTrackingRefBased/>
  <w15:docId w15:val="{9CE5CF7E-876D-45A3-ADD2-AE09E8A0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C81828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rážky 1,seznam písmena,(1) odstavec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3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4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6"/>
      </w:numPr>
    </w:pPr>
  </w:style>
  <w:style w:type="numbering" w:customStyle="1" w:styleId="VariantaB-sla">
    <w:name w:val="Varianta B - čísla"/>
    <w:uiPriority w:val="99"/>
    <w:rsid w:val="009F7F46"/>
    <w:pPr>
      <w:numPr>
        <w:numId w:val="5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rsid w:val="001B1E4A"/>
    <w:pPr>
      <w:numPr>
        <w:numId w:val="9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rsid w:val="001B1E4A"/>
    <w:pPr>
      <w:numPr>
        <w:ilvl w:val="1"/>
        <w:numId w:val="9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rsid w:val="001B1E4A"/>
    <w:pPr>
      <w:numPr>
        <w:ilvl w:val="2"/>
        <w:numId w:val="9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rsid w:val="001B1E4A"/>
    <w:pPr>
      <w:numPr>
        <w:ilvl w:val="3"/>
        <w:numId w:val="9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rsid w:val="001B1E4A"/>
    <w:pPr>
      <w:numPr>
        <w:ilvl w:val="4"/>
        <w:numId w:val="9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rsid w:val="009F7F46"/>
    <w:pPr>
      <w:numPr>
        <w:numId w:val="7"/>
      </w:numPr>
      <w:spacing w:after="0"/>
    </w:pPr>
  </w:style>
  <w:style w:type="paragraph" w:customStyle="1" w:styleId="slovanseznamB2">
    <w:name w:val="Číslovaný seznam B 2"/>
    <w:basedOn w:val="Normln"/>
    <w:uiPriority w:val="16"/>
    <w:rsid w:val="009F7F46"/>
    <w:pPr>
      <w:numPr>
        <w:ilvl w:val="1"/>
        <w:numId w:val="7"/>
      </w:numPr>
      <w:spacing w:after="0"/>
    </w:pPr>
  </w:style>
  <w:style w:type="paragraph" w:customStyle="1" w:styleId="slovanseznamB3">
    <w:name w:val="Číslovaný seznam B 3"/>
    <w:basedOn w:val="Normln"/>
    <w:uiPriority w:val="16"/>
    <w:rsid w:val="009F7F46"/>
    <w:pPr>
      <w:numPr>
        <w:ilvl w:val="2"/>
        <w:numId w:val="7"/>
      </w:numPr>
      <w:spacing w:after="0"/>
    </w:pPr>
  </w:style>
  <w:style w:type="paragraph" w:customStyle="1" w:styleId="slovanseznamB4">
    <w:name w:val="Číslovaný seznam B 4"/>
    <w:basedOn w:val="Normln"/>
    <w:uiPriority w:val="16"/>
    <w:rsid w:val="009F7F46"/>
    <w:pPr>
      <w:numPr>
        <w:ilvl w:val="3"/>
        <w:numId w:val="7"/>
      </w:numPr>
      <w:spacing w:after="0"/>
    </w:pPr>
  </w:style>
  <w:style w:type="paragraph" w:customStyle="1" w:styleId="slovanseznamB5">
    <w:name w:val="Číslovaný seznam B 5"/>
    <w:basedOn w:val="Normln"/>
    <w:uiPriority w:val="16"/>
    <w:rsid w:val="009F7F46"/>
    <w:pPr>
      <w:numPr>
        <w:ilvl w:val="4"/>
        <w:numId w:val="7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rsid w:val="00262DAF"/>
    <w:pPr>
      <w:numPr>
        <w:ilvl w:val="2"/>
        <w:numId w:val="8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rsid w:val="00262DAF"/>
    <w:pPr>
      <w:numPr>
        <w:ilvl w:val="3"/>
        <w:numId w:val="8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rsid w:val="00262DAF"/>
    <w:pPr>
      <w:numPr>
        <w:ilvl w:val="4"/>
        <w:numId w:val="8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rsid w:val="00262DAF"/>
    <w:pPr>
      <w:numPr>
        <w:numId w:val="8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rsid w:val="00262DAF"/>
    <w:pPr>
      <w:numPr>
        <w:ilvl w:val="1"/>
        <w:numId w:val="8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rsid w:val="007102D2"/>
    <w:pPr>
      <w:numPr>
        <w:numId w:val="10"/>
      </w:numPr>
      <w:spacing w:after="0"/>
    </w:pPr>
  </w:style>
  <w:style w:type="paragraph" w:customStyle="1" w:styleId="SeznamsodrkamiB2">
    <w:name w:val="Seznam s odrážkami B 2"/>
    <w:basedOn w:val="Normln"/>
    <w:uiPriority w:val="11"/>
    <w:rsid w:val="007102D2"/>
    <w:pPr>
      <w:numPr>
        <w:ilvl w:val="1"/>
        <w:numId w:val="10"/>
      </w:numPr>
      <w:spacing w:after="0"/>
    </w:pPr>
  </w:style>
  <w:style w:type="paragraph" w:customStyle="1" w:styleId="SeznamsodrkamiB3">
    <w:name w:val="Seznam s odrážkami B 3"/>
    <w:basedOn w:val="Normln"/>
    <w:uiPriority w:val="11"/>
    <w:rsid w:val="007102D2"/>
    <w:pPr>
      <w:numPr>
        <w:ilvl w:val="2"/>
        <w:numId w:val="10"/>
      </w:numPr>
      <w:spacing w:after="0"/>
    </w:pPr>
  </w:style>
  <w:style w:type="paragraph" w:customStyle="1" w:styleId="SeznamsodrkamiB4">
    <w:name w:val="Seznam s odrážkami B 4"/>
    <w:basedOn w:val="Normln"/>
    <w:uiPriority w:val="11"/>
    <w:rsid w:val="007102D2"/>
    <w:pPr>
      <w:numPr>
        <w:ilvl w:val="3"/>
        <w:numId w:val="10"/>
      </w:numPr>
      <w:spacing w:after="0"/>
    </w:pPr>
  </w:style>
  <w:style w:type="paragraph" w:customStyle="1" w:styleId="SeznamsodrkamiB5">
    <w:name w:val="Seznam s odrážkami B 5"/>
    <w:basedOn w:val="Normln"/>
    <w:uiPriority w:val="11"/>
    <w:rsid w:val="007102D2"/>
    <w:pPr>
      <w:numPr>
        <w:ilvl w:val="4"/>
        <w:numId w:val="10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link w:val="DefaultChar"/>
    <w:rsid w:val="002C2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aliases w:val="Footnote Text Char3,Footnote Text Char1 Char1,Footnote Text Char2 Char Char,Footnote Text Char1 Char1 Char Char,Footnote Text Char2 Char Char Char Char,Footnote Text Char1 Char1 Char Char Char Char Char,-E Fußnotentext,Fußnotentextf"/>
    <w:basedOn w:val="Normln"/>
    <w:link w:val="TextpoznpodarouChar"/>
    <w:uiPriority w:val="99"/>
    <w:unhideWhenUsed/>
    <w:qFormat/>
    <w:rsid w:val="00CE05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Text Char3 Char,Footnote Text Char1 Char1 Char,Footnote Text Char2 Char Char Char,Footnote Text Char1 Char1 Char Char Char,Footnote Text Char2 Char Char Char Char Char,-E Fußnotentext Char,Fußnotentextf Char"/>
    <w:basedOn w:val="Standardnpsmoodstavce"/>
    <w:link w:val="Textpoznpodarou"/>
    <w:uiPriority w:val="99"/>
    <w:qFormat/>
    <w:rsid w:val="00CE0581"/>
    <w:rPr>
      <w:color w:val="000000" w:themeColor="text1"/>
      <w:sz w:val="20"/>
      <w:szCs w:val="20"/>
    </w:rPr>
  </w:style>
  <w:style w:type="character" w:styleId="Znakapoznpodarou">
    <w:name w:val="footnote reference"/>
    <w:aliases w:val="EN Footnote Reference,BVI fnr,Footnote symbol,Footnote Reference Number,PGI Fußnote Ziffer,Footnote Reference Superscript,Appel note de bas de p,Appel note de bas de page,Légende,Char Car Car Car Car,Voetnootverwijzing,fr,SUPERS"/>
    <w:basedOn w:val="Standardnpsmoodstavce"/>
    <w:uiPriority w:val="99"/>
    <w:unhideWhenUsed/>
    <w:rsid w:val="00CE0581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25EA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154B73"/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154B73"/>
    <w:rPr>
      <w:rFonts w:ascii="Times New Roman" w:hAnsi="Times New Roman" w:cs="Times New Roman"/>
      <w:sz w:val="28"/>
      <w:szCs w:val="28"/>
    </w:rPr>
  </w:style>
  <w:style w:type="character" w:customStyle="1" w:styleId="K-Nadpis1Char">
    <w:name w:val="K-Nadpis1 Char"/>
    <w:basedOn w:val="Nadpis1Char"/>
    <w:link w:val="K-Nadpis1"/>
    <w:rsid w:val="00154B73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154B73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154B73"/>
    <w:rPr>
      <w:rFonts w:ascii="Times New Roman" w:eastAsiaTheme="majorEastAsia" w:hAnsi="Times New Roman" w:cs="Times New Roman"/>
      <w:b/>
      <w:color w:val="000000" w:themeColor="text1"/>
      <w:sz w:val="28"/>
      <w:szCs w:val="28"/>
    </w:rPr>
  </w:style>
  <w:style w:type="paragraph" w:customStyle="1" w:styleId="K-Text">
    <w:name w:val="K-Text"/>
    <w:basedOn w:val="Normln"/>
    <w:link w:val="K-TextChar"/>
    <w:qFormat/>
    <w:rsid w:val="006F1BEA"/>
    <w:pPr>
      <w:spacing w:after="120"/>
      <w:jc w:val="both"/>
    </w:pPr>
    <w:rPr>
      <w:rFonts w:ascii="Times New Roman" w:hAnsi="Times New Roman" w:cs="Times New Roman"/>
      <w:iCs/>
      <w:color w:val="auto"/>
      <w:sz w:val="23"/>
      <w:szCs w:val="23"/>
    </w:rPr>
  </w:style>
  <w:style w:type="character" w:customStyle="1" w:styleId="DefaultChar">
    <w:name w:val="Default Char"/>
    <w:basedOn w:val="Standardnpsmoodstavce"/>
    <w:link w:val="Default"/>
    <w:rsid w:val="00154B73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Nadpis3Char">
    <w:name w:val="K-Nadpis3 Char"/>
    <w:basedOn w:val="DefaultChar"/>
    <w:link w:val="K-Nadpis3"/>
    <w:rsid w:val="00154B73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ED337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character" w:customStyle="1" w:styleId="K-TextChar">
    <w:name w:val="K-Text Char"/>
    <w:basedOn w:val="Standardnpsmoodstavce"/>
    <w:link w:val="K-Text"/>
    <w:rsid w:val="006F1BEA"/>
    <w:rPr>
      <w:rFonts w:ascii="Times New Roman" w:hAnsi="Times New Roman" w:cs="Times New Roman"/>
      <w:iCs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ED337B"/>
    <w:pPr>
      <w:spacing w:after="120"/>
      <w:jc w:val="both"/>
    </w:pPr>
    <w:rPr>
      <w:b/>
      <w:bCs/>
      <w:color w:val="auto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ED337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A87B13"/>
    <w:rPr>
      <w:rFonts w:ascii="Times New Roman" w:hAnsi="Times New Roman" w:cs="Times New Roman"/>
    </w:rPr>
  </w:style>
  <w:style w:type="character" w:customStyle="1" w:styleId="K-TabulkaChar">
    <w:name w:val="K-Tabulka Char"/>
    <w:basedOn w:val="DefaultChar"/>
    <w:link w:val="K-Tabulka"/>
    <w:rsid w:val="00ED337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A87B13"/>
    <w:rPr>
      <w:rFonts w:ascii="Times New Roman" w:hAnsi="Times New Roman" w:cs="Times New Roman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1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1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14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1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14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14A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85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link w:val="TitulekChar"/>
    <w:qFormat/>
    <w:rsid w:val="003B0BC8"/>
    <w:pPr>
      <w:spacing w:before="240" w:after="240" w:line="240" w:lineRule="auto"/>
    </w:pPr>
    <w:rPr>
      <w:rFonts w:ascii="Arial" w:eastAsia="Times New Roman" w:hAnsi="Arial" w:cs="Times New Roman"/>
      <w:b/>
      <w:bCs/>
      <w:color w:val="auto"/>
      <w:szCs w:val="20"/>
      <w:lang w:eastAsia="cs-CZ"/>
    </w:rPr>
  </w:style>
  <w:style w:type="character" w:customStyle="1" w:styleId="TitulekChar">
    <w:name w:val="Titulek Char"/>
    <w:link w:val="Titulek"/>
    <w:locked/>
    <w:rsid w:val="003B0BC8"/>
    <w:rPr>
      <w:rFonts w:ascii="Arial" w:eastAsia="Times New Roman" w:hAnsi="Arial" w:cs="Times New Roman"/>
      <w:b/>
      <w:bCs/>
      <w:szCs w:val="20"/>
      <w:lang w:eastAsia="cs-CZ"/>
    </w:rPr>
  </w:style>
  <w:style w:type="paragraph" w:customStyle="1" w:styleId="Odrkyabc">
    <w:name w:val="Odrážky abc"/>
    <w:basedOn w:val="Normln"/>
    <w:uiPriority w:val="99"/>
    <w:rsid w:val="003B0BC8"/>
    <w:pPr>
      <w:numPr>
        <w:numId w:val="11"/>
      </w:numPr>
      <w:spacing w:before="120" w:after="120" w:line="240" w:lineRule="auto"/>
    </w:pPr>
    <w:rPr>
      <w:rFonts w:ascii="Arial" w:eastAsia="Times New Roman" w:hAnsi="Arial" w:cs="Times New Roman"/>
      <w:color w:val="auto"/>
      <w:szCs w:val="24"/>
      <w:lang w:eastAsia="cs-CZ"/>
    </w:rPr>
  </w:style>
  <w:style w:type="character" w:customStyle="1" w:styleId="apple-style-span">
    <w:name w:val="apple-style-span"/>
    <w:basedOn w:val="Standardnpsmoodstavce"/>
    <w:rsid w:val="003B0BC8"/>
  </w:style>
  <w:style w:type="paragraph" w:customStyle="1" w:styleId="00Body">
    <w:name w:val="00 Body"/>
    <w:basedOn w:val="Normln"/>
    <w:link w:val="00BodyChar"/>
    <w:qFormat/>
    <w:rsid w:val="00436A3E"/>
    <w:pPr>
      <w:spacing w:before="180" w:after="180" w:line="264" w:lineRule="auto"/>
    </w:pPr>
    <w:rPr>
      <w:rFonts w:ascii="Arial (Body)" w:eastAsia="Times New Roman" w:hAnsi="Arial (Body)" w:cs="Times New Roman"/>
      <w:color w:val="auto"/>
      <w:szCs w:val="20"/>
      <w:lang w:val="en-US"/>
    </w:rPr>
  </w:style>
  <w:style w:type="character" w:customStyle="1" w:styleId="00BodyChar">
    <w:name w:val="00 Body Char"/>
    <w:basedOn w:val="Standardnpsmoodstavce"/>
    <w:link w:val="00Body"/>
    <w:rsid w:val="00436A3E"/>
    <w:rPr>
      <w:rFonts w:ascii="Arial (Body)" w:eastAsia="Times New Roman" w:hAnsi="Arial (Body)" w:cs="Times New Roman"/>
      <w:szCs w:val="20"/>
      <w:lang w:val="en-US"/>
    </w:rPr>
  </w:style>
  <w:style w:type="table" w:customStyle="1" w:styleId="Mkatabulky1">
    <w:name w:val="Mřížka tabulky1"/>
    <w:basedOn w:val="Normlntabulka"/>
    <w:next w:val="Mkatabulky"/>
    <w:uiPriority w:val="39"/>
    <w:rsid w:val="00F15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69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ln"/>
    <w:link w:val="Bullet1Char"/>
    <w:uiPriority w:val="99"/>
    <w:qFormat/>
    <w:rsid w:val="00984EFC"/>
    <w:pPr>
      <w:numPr>
        <w:numId w:val="14"/>
      </w:numPr>
      <w:spacing w:before="120" w:after="120" w:line="240" w:lineRule="auto"/>
    </w:pPr>
    <w:rPr>
      <w:rFonts w:ascii="Arial" w:eastAsia="Times New Roman" w:hAnsi="Arial" w:cs="Times New Roman"/>
      <w:color w:val="auto"/>
      <w:szCs w:val="24"/>
      <w:lang w:eastAsia="cs-CZ"/>
    </w:rPr>
  </w:style>
  <w:style w:type="paragraph" w:customStyle="1" w:styleId="Odrka1">
    <w:name w:val="Odrážka 1"/>
    <w:basedOn w:val="Bullet1"/>
    <w:link w:val="Odrka1Char"/>
    <w:qFormat/>
    <w:rsid w:val="00984EFC"/>
  </w:style>
  <w:style w:type="character" w:customStyle="1" w:styleId="Odrka1Char">
    <w:name w:val="Odrážka 1 Char"/>
    <w:basedOn w:val="Standardnpsmoodstavce"/>
    <w:link w:val="Odrka1"/>
    <w:rsid w:val="00984EFC"/>
    <w:rPr>
      <w:rFonts w:ascii="Arial" w:eastAsia="Times New Roman" w:hAnsi="Arial" w:cs="Times New Roman"/>
      <w:szCs w:val="24"/>
      <w:lang w:eastAsia="cs-CZ"/>
    </w:rPr>
  </w:style>
  <w:style w:type="character" w:customStyle="1" w:styleId="Bullet1Char">
    <w:name w:val="Bullet 1 Char"/>
    <w:basedOn w:val="Standardnpsmoodstavce"/>
    <w:link w:val="Bullet1"/>
    <w:uiPriority w:val="99"/>
    <w:rsid w:val="00984EFC"/>
    <w:rPr>
      <w:rFonts w:ascii="Arial" w:eastAsia="Times New Roman" w:hAnsi="Arial" w:cs="Times New Roman"/>
      <w:szCs w:val="24"/>
      <w:lang w:eastAsia="cs-CZ"/>
    </w:rPr>
  </w:style>
  <w:style w:type="character" w:customStyle="1" w:styleId="OdstavecseseznamemChar">
    <w:name w:val="Odstavec se seznamem Char"/>
    <w:aliases w:val="Odrážky 1 Char,seznam písmena Char,(1) odstavec Char"/>
    <w:basedOn w:val="Standardnpsmoodstavce"/>
    <w:link w:val="Odstavecseseznamem"/>
    <w:uiPriority w:val="34"/>
    <w:qFormat/>
    <w:rsid w:val="001F32B2"/>
    <w:rPr>
      <w:color w:val="000000" w:themeColor="text1"/>
    </w:rPr>
  </w:style>
  <w:style w:type="character" w:customStyle="1" w:styleId="normaltextrun">
    <w:name w:val="normaltextrun"/>
    <w:basedOn w:val="Standardnpsmoodstavce"/>
    <w:rsid w:val="00F01755"/>
  </w:style>
  <w:style w:type="character" w:customStyle="1" w:styleId="eop">
    <w:name w:val="eop"/>
    <w:basedOn w:val="Standardnpsmoodstavce"/>
    <w:rsid w:val="00F01755"/>
  </w:style>
  <w:style w:type="character" w:customStyle="1" w:styleId="contextualspellingandgrammarerror">
    <w:name w:val="contextualspellingandgrammarerror"/>
    <w:basedOn w:val="Standardnpsmoodstavce"/>
    <w:rsid w:val="009D1EAD"/>
  </w:style>
  <w:style w:type="paragraph" w:customStyle="1" w:styleId="xmsonormal">
    <w:name w:val="x_msonormal"/>
    <w:basedOn w:val="Normln"/>
    <w:rsid w:val="004F3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paragraph">
    <w:name w:val="paragraph"/>
    <w:basedOn w:val="Normln"/>
    <w:rsid w:val="00CB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tabchar">
    <w:name w:val="tabchar"/>
    <w:basedOn w:val="Standardnpsmoodstavce"/>
    <w:rsid w:val="00CB734D"/>
  </w:style>
  <w:style w:type="character" w:customStyle="1" w:styleId="spellingerror">
    <w:name w:val="spellingerror"/>
    <w:basedOn w:val="Standardnpsmoodstavce"/>
    <w:rsid w:val="00CB734D"/>
  </w:style>
  <w:style w:type="character" w:customStyle="1" w:styleId="scxw103030068">
    <w:name w:val="scxw103030068"/>
    <w:basedOn w:val="Standardnpsmoodstavce"/>
    <w:rsid w:val="00CB7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176F0-91F7-426A-96F4-0A1834A2A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1758E-458E-400C-A4E9-7E535E591B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F5E84-47A9-4C74-9832-7DADC55C9F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D2CF9B-B5FD-46D5-A4DD-B1552EBC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F1FC0FB3.dotm</Template>
  <TotalTime>1</TotalTime>
  <Pages>10</Pages>
  <Words>4692</Words>
  <Characters>27686</Characters>
  <Application>Microsoft Office Word</Application>
  <DocSecurity>0</DocSecurity>
  <Lines>230</Lines>
  <Paragraphs>64</Paragraphs>
  <ScaleCrop>false</ScaleCrop>
  <Company>Ministerstvo průmyslu a obchodu</Company>
  <LinksUpToDate>false</LinksUpToDate>
  <CharactersWithSpaces>32314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Pápai Adam</dc:creator>
  <cp:keywords/>
  <dc:description/>
  <cp:lastModifiedBy>Hronza Martin</cp:lastModifiedBy>
  <cp:revision>5</cp:revision>
  <cp:lastPrinted>2021-05-11T09:29:00Z</cp:lastPrinted>
  <dcterms:created xsi:type="dcterms:W3CDTF">2021-05-14T11:01:00Z</dcterms:created>
  <dcterms:modified xsi:type="dcterms:W3CDTF">2021-05-14T20:44:00Z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0x010100FD6AFFD6CE014942BF86BBEEBCBDDF03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de50a9c3-c134-4470-9220-4e0f9446357a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2021-05-14T11:01:32Z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