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55A53BD" w:rsidR="007D49E4" w:rsidRPr="007A4BFB" w:rsidRDefault="00BE74BF" w:rsidP="3AF2AF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60" w:after="0" w:line="276" w:lineRule="auto"/>
        <w:rPr>
          <w:rFonts w:asciiTheme="majorHAnsi" w:eastAsiaTheme="majorEastAsia" w:hAnsiTheme="majorHAnsi" w:cstheme="majorBidi"/>
          <w:b/>
          <w:bCs/>
          <w:color w:val="000000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br/>
      </w:r>
      <w:r w:rsidR="00603083"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 xml:space="preserve">1.4 </w:t>
      </w:r>
      <w:r w:rsidR="00603083" w:rsidRPr="3AF2AF2D">
        <w:rPr>
          <w:rFonts w:asciiTheme="majorHAnsi" w:eastAsiaTheme="majorEastAsia" w:hAnsiTheme="majorHAnsi" w:cstheme="majorBidi"/>
          <w:b/>
          <w:bCs/>
          <w:sz w:val="28"/>
          <w:szCs w:val="28"/>
        </w:rPr>
        <w:t>Digitální ekonomika a společnost, inovativní start-</w:t>
      </w:r>
      <w:proofErr w:type="spellStart"/>
      <w:r w:rsidR="00603083" w:rsidRPr="3AF2AF2D">
        <w:rPr>
          <w:rFonts w:asciiTheme="majorHAnsi" w:eastAsiaTheme="majorEastAsia" w:hAnsiTheme="majorHAnsi" w:cstheme="majorBidi"/>
          <w:b/>
          <w:bCs/>
          <w:sz w:val="28"/>
          <w:szCs w:val="28"/>
        </w:rPr>
        <w:t>upy</w:t>
      </w:r>
      <w:proofErr w:type="spellEnd"/>
      <w:r w:rsidR="00603083" w:rsidRPr="3AF2AF2D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a nové technologie</w:t>
      </w:r>
      <w:r w:rsidR="00603083"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 xml:space="preserve"> (MPO) </w:t>
      </w:r>
    </w:p>
    <w:p w14:paraId="00000002" w14:textId="77777777" w:rsidR="007D49E4" w:rsidRPr="007A4BFB" w:rsidRDefault="007D49E4" w:rsidP="3AF2AF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80" w:after="0" w:line="276" w:lineRule="auto"/>
        <w:rPr>
          <w:rFonts w:asciiTheme="majorHAnsi" w:eastAsiaTheme="majorEastAsia" w:hAnsiTheme="majorHAnsi" w:cstheme="majorBidi"/>
          <w:i/>
          <w:iCs/>
          <w:color w:val="2196FF"/>
          <w:sz w:val="20"/>
          <w:szCs w:val="20"/>
        </w:rPr>
      </w:pPr>
    </w:p>
    <w:p w14:paraId="5C1F9ACC" w14:textId="4047A8DA" w:rsidR="7D05E766" w:rsidRDefault="00603083" w:rsidP="54F27B9B">
      <w:pPr>
        <w:spacing w:before="80" w:after="0" w:line="276" w:lineRule="auto"/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</w:pPr>
      <w:r w:rsidRPr="54F27B9B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1. Popis komponenty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29DCD323" w14:paraId="039A2F8D" w14:textId="77777777" w:rsidTr="29DCD323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3D28AA" w14:textId="77777777" w:rsidR="5687485D" w:rsidRDefault="5687485D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Digitální ekonomika a společnost, inovativní start-</w:t>
            </w:r>
            <w:proofErr w:type="spellStart"/>
            <w:r w:rsidRPr="29DCD323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upy</w:t>
            </w:r>
            <w:proofErr w:type="spellEnd"/>
            <w:r w:rsidRPr="29DCD323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 xml:space="preserve"> a nové technologie</w:t>
            </w:r>
          </w:p>
          <w:p w14:paraId="44DB6607" w14:textId="3E7AB70F" w:rsidR="29DCD323" w:rsidRDefault="29DCD323" w:rsidP="29DCD323">
            <w:pPr>
              <w:jc w:val="both"/>
            </w:pPr>
            <w:r w:rsidRPr="29DCD323">
              <w:rPr>
                <w:b/>
                <w:bCs/>
                <w:color w:val="000000" w:themeColor="text1"/>
                <w:sz w:val="20"/>
                <w:szCs w:val="20"/>
              </w:rPr>
              <w:t xml:space="preserve">Oblast politiky: </w:t>
            </w:r>
            <w:r w:rsidRPr="29DCD323">
              <w:rPr>
                <w:color w:val="000000" w:themeColor="text1"/>
                <w:sz w:val="20"/>
                <w:szCs w:val="20"/>
              </w:rPr>
              <w:t>Digital</w:t>
            </w:r>
          </w:p>
          <w:p w14:paraId="239C2921" w14:textId="7DF92EED" w:rsidR="29DCD323" w:rsidRDefault="29DCD323" w:rsidP="29DCD323">
            <w:pPr>
              <w:jc w:val="both"/>
            </w:pPr>
            <w:r w:rsidRPr="29DCD323">
              <w:rPr>
                <w:b/>
                <w:bCs/>
                <w:color w:val="000000" w:themeColor="text1"/>
                <w:sz w:val="20"/>
                <w:szCs w:val="20"/>
              </w:rPr>
              <w:t xml:space="preserve">Cíl: </w:t>
            </w:r>
          </w:p>
          <w:p w14:paraId="4DB489B9" w14:textId="10AAEB1A" w:rsidR="71C35906" w:rsidRDefault="71C35906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Skokově posunout českou ekonomiku v oblasti moderních digitálních technologií, které budou motorem hospodářského oživení a návratu k hospodářskému růstu. Tyto technologie jsou základem digitální transformace podniků (navazující komponenta 1.5), především malých a středních (SME).</w:t>
            </w:r>
          </w:p>
          <w:p w14:paraId="4132116E" w14:textId="52B5FFB2" w:rsidR="29DCD323" w:rsidRDefault="29DCD323" w:rsidP="29DCD323">
            <w:pPr>
              <w:jc w:val="both"/>
            </w:pPr>
            <w:r w:rsidRPr="29DCD323">
              <w:rPr>
                <w:b/>
                <w:bCs/>
                <w:color w:val="000000" w:themeColor="text1"/>
                <w:sz w:val="20"/>
                <w:szCs w:val="20"/>
              </w:rPr>
              <w:t xml:space="preserve">Reformy a investice: </w:t>
            </w:r>
          </w:p>
          <w:p w14:paraId="791899C4" w14:textId="77777777" w:rsidR="548DB210" w:rsidRDefault="548DB210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1. Koordinace digitální transformace ekonomiky zasažené </w:t>
            </w:r>
            <w:proofErr w:type="spellStart"/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koronavirovou</w:t>
            </w:r>
            <w:proofErr w:type="spellEnd"/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 krizí, přenos nejlepší praxe a know-how - řídící aktivita digitální transformace české ekonomiky, zahrnuje proměnu systému koordinace podpory digitální ekonomiky a </w:t>
            </w: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projekty, které propojí a zkoordinuji veškeré aktéry v oblasti digitální agendy a digitální transformace, vytvoří samotný institucionální a technologický základ pro skokovou transformaci a prostředky pro přenos dobré praxe, a to zejména v návaznosti na klíčové aktivity Evropské komise v této oblasti.</w:t>
            </w:r>
          </w:p>
          <w:p w14:paraId="66BC76AB" w14:textId="77777777" w:rsidR="548DB210" w:rsidRDefault="548DB210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- navazující investice 1.1 až 1.6</w:t>
            </w:r>
          </w:p>
          <w:p w14:paraId="6EEFCD92" w14:textId="77777777" w:rsidR="548DB210" w:rsidRDefault="548DB210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2. </w:t>
            </w: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Ucelená podpora investic a rozvoje inovativních firem, start-</w:t>
            </w:r>
            <w:proofErr w:type="spellStart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upů</w:t>
            </w:r>
            <w:proofErr w:type="spellEnd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projektů a nových technologií – zahrnuje </w:t>
            </w:r>
            <w:proofErr w:type="spellStart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koinvestiční</w:t>
            </w:r>
            <w:proofErr w:type="spellEnd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dotační programy a další podpůrné aktivity pro přímou podporu vzniku nových technologií ve firmách typu start-up a spin-</w:t>
            </w:r>
            <w:proofErr w:type="spellStart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off</w:t>
            </w:r>
            <w:proofErr w:type="spellEnd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, a to včetně jejich inkubace, akcelerace a internacionalizace.</w:t>
            </w:r>
          </w:p>
          <w:p w14:paraId="18D3F773" w14:textId="77777777" w:rsidR="548DB210" w:rsidRDefault="548DB210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- navazující investice 2.1 až 2.5</w:t>
            </w:r>
          </w:p>
          <w:p w14:paraId="5DFD613F" w14:textId="77777777" w:rsidR="548DB210" w:rsidRDefault="548DB210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3. </w:t>
            </w: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Podpora strategických odvětví – obsahuje konkrétní podporu VVI ve strategických odvětvích, a to v oblastech, které byly buď zásadně zasaženy </w:t>
            </w:r>
            <w:proofErr w:type="spellStart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koronavirovou</w:t>
            </w:r>
            <w:proofErr w:type="spellEnd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krizí a/nebo nabízí zásadní potenciál pro další budoucí růst. Součástí je </w:t>
            </w:r>
            <w:proofErr w:type="spellStart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flagship</w:t>
            </w:r>
            <w:proofErr w:type="spellEnd"/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projekt pro podporu kvantové komunikační infrastruktury.</w:t>
            </w:r>
          </w:p>
          <w:p w14:paraId="06F5CCC7" w14:textId="196C90EF" w:rsidR="548DB210" w:rsidRDefault="548DB210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- navazující investice 3.1 a 3.2</w:t>
            </w:r>
          </w:p>
          <w:p w14:paraId="5033F016" w14:textId="5F995965" w:rsidR="29DCD323" w:rsidRDefault="29DCD323" w:rsidP="29DCD323">
            <w:pPr>
              <w:jc w:val="both"/>
            </w:pPr>
            <w:r w:rsidRPr="29DCD323">
              <w:rPr>
                <w:b/>
                <w:bCs/>
                <w:color w:val="000000" w:themeColor="text1"/>
                <w:sz w:val="20"/>
                <w:szCs w:val="20"/>
              </w:rPr>
              <w:t xml:space="preserve">Odhadované náklady: </w:t>
            </w:r>
          </w:p>
          <w:p w14:paraId="7808AE6A" w14:textId="77777777" w:rsidR="347F7DF5" w:rsidRDefault="347F7DF5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Celkové alokované prostředky v NPO činí </w:t>
            </w: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5 710</w:t>
            </w: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 mil. Kč</w:t>
            </w:r>
          </w:p>
          <w:p w14:paraId="6F031BB3" w14:textId="77777777" w:rsidR="347F7DF5" w:rsidRDefault="347F7DF5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Celkové investiční výdaje na komponentu lze odhadnout na úrovni </w:t>
            </w: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5 710</w:t>
            </w: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 mil. Kč </w:t>
            </w: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(vč. kofinancování)</w:t>
            </w:r>
          </w:p>
          <w:p w14:paraId="6B3C5F50" w14:textId="77777777" w:rsidR="347F7DF5" w:rsidRDefault="347F7DF5" w:rsidP="29DCD323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Veškeré projekty uvedené projekty budou </w:t>
            </w:r>
            <w:proofErr w:type="spellStart"/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zasmluvněny</w:t>
            </w:r>
            <w:proofErr w:type="spellEnd"/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 nejpozději ve </w:t>
            </w: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2023</w:t>
            </w: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.</w:t>
            </w:r>
          </w:p>
          <w:p w14:paraId="630DED3C" w14:textId="267F5DF8" w:rsidR="347F7DF5" w:rsidRDefault="347F7DF5" w:rsidP="29DCD323">
            <w:pPr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Cca </w:t>
            </w:r>
            <w:r w:rsidRPr="29DCD323">
              <w:rPr>
                <w:rFonts w:asciiTheme="majorHAnsi" w:eastAsiaTheme="majorEastAsia" w:hAnsiTheme="majorHAnsi" w:cstheme="majorBidi"/>
                <w:sz w:val="20"/>
                <w:szCs w:val="20"/>
              </w:rPr>
              <w:t>7,5</w:t>
            </w:r>
            <w:r w:rsidRPr="29DCD323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 % z celkové alokace bude čerpáno v roce 2025.</w:t>
            </w:r>
            <w:r>
              <w:br/>
            </w:r>
          </w:p>
        </w:tc>
      </w:tr>
    </w:tbl>
    <w:p w14:paraId="24E3696C" w14:textId="798C350D" w:rsidR="7D05E766" w:rsidRDefault="7D05E766" w:rsidP="7D05E766">
      <w:pPr>
        <w:spacing w:before="80" w:after="0" w:line="276" w:lineRule="auto"/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</w:pPr>
    </w:p>
    <w:p w14:paraId="00000014" w14:textId="303E2E49" w:rsidR="007D49E4" w:rsidRPr="007A4BFB" w:rsidRDefault="00603083" w:rsidP="29DCD32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29DCD323">
        <w:rPr>
          <w:rFonts w:asciiTheme="majorHAnsi" w:eastAsiaTheme="majorEastAsia" w:hAnsiTheme="majorHAnsi" w:cstheme="majorBidi"/>
          <w:sz w:val="20"/>
          <w:szCs w:val="20"/>
        </w:rPr>
        <w:br w:type="page"/>
      </w:r>
    </w:p>
    <w:p w14:paraId="00000015" w14:textId="77777777" w:rsidR="007D49E4" w:rsidRPr="007A4BFB" w:rsidRDefault="00603083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lastRenderedPageBreak/>
        <w:t>a) Detail komponenty</w:t>
      </w:r>
    </w:p>
    <w:p w14:paraId="1EE9D290" w14:textId="77777777" w:rsidR="00EB5AC6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Česká ekonomika bude v následujících letech kriticky zasažena ekonomickou krizí s mimořádným dopadem na zaměstnanost a tvorbu přidané hodnoty. Pro co nejrychlejší návrat k dlouhodobému a udržitelnému růstu byl proto v souladu s Inovační strategií ČR vypracován tento komplexní plán reforem spočívajících v podpoře digitálních technologií a na nich založené digitální transformaci ekonomiky. </w:t>
      </w:r>
    </w:p>
    <w:p w14:paraId="0B3FA7AC" w14:textId="77777777" w:rsidR="00EB5AC6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Reformy v rámci této (1.4) a navazující (1.5) komponenty proto obsahují komplexní soubor aktivit:</w:t>
      </w:r>
    </w:p>
    <w:p w14:paraId="24101E4B" w14:textId="77777777" w:rsidR="00EB5AC6" w:rsidRDefault="00EB5AC6" w:rsidP="3AF2AF2D">
      <w:pPr>
        <w:pStyle w:val="Odstavecseseznamem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Reforma a doplnění systému koordinace a podpory digitální ekonomiky a digitální transformace ekonomiky – zastřešující aktivita (1.4.1) </w:t>
      </w:r>
    </w:p>
    <w:p w14:paraId="1966EE8D" w14:textId="77777777" w:rsidR="00EB5AC6" w:rsidRDefault="00EB5AC6" w:rsidP="3AF2AF2D">
      <w:pPr>
        <w:pStyle w:val="Odstavecseseznamem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Podpora vzniku nových moderních, především digitálních technologií a na nich postavených rychle rostoucích firem typu start-up a spin-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off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(1.4.2)</w:t>
      </w:r>
    </w:p>
    <w:p w14:paraId="1CDA5FC1" w14:textId="77777777" w:rsidR="00EB5AC6" w:rsidRDefault="00EB5AC6" w:rsidP="3AF2AF2D">
      <w:pPr>
        <w:pStyle w:val="Odstavecseseznamem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Zvláštní podpora tzv. strategických digitálních technologií a jejich certifikace (1.4.3)</w:t>
      </w:r>
    </w:p>
    <w:p w14:paraId="0098425D" w14:textId="77777777" w:rsidR="00EB5AC6" w:rsidRDefault="00EB5AC6" w:rsidP="3AF2AF2D">
      <w:pPr>
        <w:pStyle w:val="Odstavecseseznamem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Vytvoření infrastruktury pro přenos digitálních technologií do reálné ekonomiky (1.5.1 a 2)</w:t>
      </w:r>
    </w:p>
    <w:p w14:paraId="6C3695B1" w14:textId="77777777" w:rsidR="00EB5AC6" w:rsidRPr="00717BCD" w:rsidRDefault="00EB5AC6" w:rsidP="3AF2AF2D">
      <w:pPr>
        <w:pStyle w:val="Odstavecseseznamem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Přímá podpora digitální transformace samotných firem, především SME (1.5.3). </w:t>
      </w:r>
    </w:p>
    <w:p w14:paraId="05199214" w14:textId="77777777" w:rsidR="00EB5AC6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Logicky a systémově jsou pak obě navazující komponenty 1.4 a 1.5 rozděleny tak, že první obsahuje řídící a průřezové aktivity celé digitální transformace, podporu vzniku nových technologií a strategických technologií, tedy jakousi hlavu celé digitální transformace české ekonomiky. Druhá pak konkrétní vznik infrastruktury pro přenos technologií do podnikové praxe, a to v podobě vybudování prvků Evropského digitálního ekosystému, společně s konkrétními programy přímé podpory digitální transformace podniků, se zvláštním zaměřením na kybernetickou bezpečnost. Obě komponenty se přirozeně opírají a navazují na budování komunikačních sítí v rámci komponenty 1.3 a jsou plně komplementární k dalším komponentám, především komponentě 5. Výzkum vývoj a inovace a 3. Vzdělávání a trh práce.</w:t>
      </w:r>
    </w:p>
    <w:p w14:paraId="4105C223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V obou komponentách (1.4 a 1.5) jsou pokryty pouze oblasti, kde dochází k tržnímu selhání a/nebo je průkazně zapotřebí veřejné ingerence k akceleraci a dosažení stanoveného cíle – skokově posunout českou ekonomiku v oblasti moderních digitálních technologií, které budou motorem hospodářského oživení a návratu k hospodářskému růstu. Příkladem je reforma Výboru pro digitální ekonomiku a společnost a na něj nově navázaných platforem a pracovních skupin. Například platformy pro vzdělávání profesionálů v oboru digitální transformace, kteří dnes chybí v samotných firmách. Dále demonstrativní projekty, které ukáží potenciál technologií a navedou k jejich další realizaci ze soukromých i veřejných zdrojů. V oblasti financování je upřednostněno vytváření infrastruktury pro rozvoj kapitálového trhu a soukromých investic, jako je vytvoření evropského trhu pro financování SME založeného na decentralizovaných technologiích (DLT) v rámci projektu EBSI Evropské komise. Přímé dotační programy pak tyto aktivity primárně doplňují.</w:t>
      </w:r>
    </w:p>
    <w:p w14:paraId="14F58D63" w14:textId="77777777" w:rsidR="00EB5AC6" w:rsidRPr="00717BCD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Zvláštní důraz je přitom napříč komponentami kladen na podporu klíčových a strategických technologií, Komponenta, a zvláště část podpory klíčových a strategických technologií se též opírá o Národní výzkumnou a inovační strategii pro inteligentní specializaci 2021-2027 (Národní RIS3 strategie), jež je výrazně orientována na identifikaci a difúzi technologií a inovací, které jsou zásadní pro transformaci perspektivních odvětví v ČR. Národní RIS3 strategie za tímto účelem nastavuje komplexní procesy, které též zahrnují identifikaci nově vznikajících technologií a trendů, a jsou provázány na průřezovou prioritu strategie, kterou je koncepční rozvoj digitálního ekosystému v ČR.</w:t>
      </w:r>
    </w:p>
    <w:p w14:paraId="51481272" w14:textId="77777777" w:rsidR="00A87523" w:rsidRDefault="00A87523" w:rsidP="3AF2AF2D">
      <w:pPr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br w:type="page"/>
      </w:r>
    </w:p>
    <w:p w14:paraId="0000001C" w14:textId="7241618B" w:rsidR="007D49E4" w:rsidRPr="007A4BFB" w:rsidRDefault="00603083" w:rsidP="3AF2AF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80" w:after="0" w:line="276" w:lineRule="auto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lastRenderedPageBreak/>
        <w:t>2. Hlavní výzvy a cíle</w:t>
      </w:r>
    </w:p>
    <w:p w14:paraId="0000001D" w14:textId="77777777" w:rsidR="007D49E4" w:rsidRPr="007A4BFB" w:rsidRDefault="007D49E4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i/>
          <w:iCs/>
          <w:color w:val="2196FF"/>
          <w:sz w:val="20"/>
          <w:szCs w:val="20"/>
        </w:rPr>
      </w:pPr>
    </w:p>
    <w:p w14:paraId="0000001E" w14:textId="77777777" w:rsidR="007D49E4" w:rsidRPr="007A4BFB" w:rsidRDefault="00603083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a) Hlavní výzvy</w:t>
      </w:r>
    </w:p>
    <w:p w14:paraId="577AAA23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Po letech stabilního růstu, který zvýšil příjmy a životní úroveň, bude česká ekonomika tvrdě zasažena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kovidovou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krizí a, jak konstatovala v aktuální zprávě OECD</w:t>
      </w:r>
      <w:r w:rsidRPr="3AF2AF2D">
        <w:rPr>
          <w:rFonts w:asciiTheme="majorHAnsi" w:eastAsiaTheme="majorEastAsia" w:hAnsiTheme="majorHAnsi" w:cstheme="majorBidi"/>
          <w:sz w:val="20"/>
          <w:szCs w:val="20"/>
          <w:vertAlign w:val="superscript"/>
        </w:rPr>
        <w:footnoteReference w:id="1"/>
      </w:r>
      <w:r w:rsidRPr="3AF2AF2D">
        <w:rPr>
          <w:rFonts w:asciiTheme="majorHAnsi" w:eastAsiaTheme="majorEastAsia" w:hAnsiTheme="majorHAnsi" w:cstheme="majorBidi"/>
          <w:sz w:val="20"/>
          <w:szCs w:val="20"/>
        </w:rPr>
        <w:t>, bude se zotavovat jen pomalu. V souladu s touto zprávou by se tak měla vláda zaměřit na stimulaci růstu investic a produktivity. Dále pak najít způsoby, jak rychle zlepšit rekvalifikaci uchazečů o zaměstnání, což by pomohlo obnovit produktivitu a růst a zcela to odpovídá dlouhodobým prioritám Evropské komise na rozvoj digitálních dovedností. Klíčovou výzvou bude samozřejmě nadále podporovat životaschopné firmy a pracovní místa, a současně umožňovat přerozdělování zdrojů napříč odvětvími k čemuž digitalizace významně přispěje. Zásadní výzvou je dosáhnout oživení, které bude inkluzivní, udržitelné a odolné vůči budoucím šokům v rámci budování odolnosti (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resilience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>) prostřednictvím moderních technologií.</w:t>
      </w:r>
    </w:p>
    <w:p w14:paraId="17DDD3F7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OECD také konstatuje, že od vstupu Česka v roce 1995 zaznamenala země růst reálného HDP na obyvatele téměř o 90 % a těší se jedné z nejnižších úrovní chudoby, nezaměstnanosti a nerovnosti příjmů. Výzvy pro růst a blahobyt však existovaly už před pandemií především v oblasti produktivity práce a firemních inovací a investic do výzkumu a vývoje. Tyto oblasti jsou přímo pod vlivem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megatrendů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digitalizace a automatizace. Ekonomika tažená exportem je také citlivá na vnější otřesy a nízká celková nerovnost skrývá velké regionální rozdíly v příjmech, některé regiony neúměrně trpí stárnutím, nekvalifikovanou populací a také špatnou digitální konektivitou. Doporučení OECD se, krom jiného, zaměřují na lepší orientaci podpory výzkumu a vývoje na mladé firmy.</w:t>
      </w:r>
    </w:p>
    <w:p w14:paraId="341956A4" w14:textId="77777777" w:rsidR="00EB5AC6" w:rsidRPr="007A4BFB" w:rsidRDefault="00EB5AC6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Evropská komise v novém Koordinovaném plánu pro AI přímo doporučuje financovat novou generaci umělé inteligence. Cílem má být, že se EU posune kupředu směrem k “bezpečnější, důvěryhodnější a ekologičtější AI a udrží Evropu na špici ve vývoji AI.” Kromě vývoje podpůrných technologií mají programy EU také pomoci ukázat demonstrovat, “jak AI pomáhá transformovat hlavní hospodářská odvětví ve výrobě a službách a také řešit hlavní společenské výzvy v oblastech, jako je zdraví, civilní bezpečnost, klima, energetika, mobilita a zemědělství.”</w:t>
      </w:r>
    </w:p>
    <w:p w14:paraId="4B1D95FD" w14:textId="77777777" w:rsidR="00EB5AC6" w:rsidRPr="00A63654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Česko také dlouhodobě postrádá schopnost vybudovat rychle rostoucí technologické šampiony, kteří jsou přitom základním znakem úspěšného inovačního prostředí schopného obstát v globální konkurenci. V Evropě přitom počet takových firem dosahuje vyšších desítek. Výzvou pro ČR je využití klíčových a nově vznikajících technologií jako katalyzátorů změny v perspektivních sektorech. Tyto strategické technologie napomohou průmyslové transformaci, generování nových příležitostí, vytváření vysoké přidané hodnoty a růstu endogenních českých firem s mezinárodně konkurenceschopnými konečnými produkty pro trh a v nově vznikajících technologicky a znalostně náročných odvětvích. Česká ekonomika je postavena na průmyslové výrobě. Jakákoli další diverzifikace průmyslu je nutná, ale zároveň je v době krize potřeba uvažovat s nízkými investičními náklady na změnu produkce. Právě v důsledku dopadů aktuální krize došlo k významné změně v poptávce v některých strategických odvětvích, pro jejichž podporu byla, v rámci boje s následky pandemie nemoci COVID-19, vládou ČR ustavena Rada pro podporu strategických technologií a produktů. Cílem této reformy je tak podpořit digitální transformaci těchto strategických odvětví.</w:t>
      </w:r>
    </w:p>
    <w:p w14:paraId="490FDE88" w14:textId="77777777" w:rsidR="00EB5AC6" w:rsidRPr="00A63654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Především v letecké dopravě, která byla těžce zasažena a je tradiční a vysoce prestižní součástí české průmyslové tradice je třeba podpořit radikální digitální transformaci a zefektivnění. Na základě existující poptávky ze strany velkých výrobců (Airbus), historické vysoké kvalifikaci pracovníků v leteckém průmyslu a analýzy struktury průmyslových výrobců v ČR by transformací části průmyslové výroby došlo ke zvýšení produkce s vysokým multiplikačním efektem na úrovni multiplikátoru 6 s vysokou přidanou hodnotou a vytvoření vysoce kvalifikovaných pracovních míst. Proto byla právě letecká technika jako strategické odvětví zvolena jako pilotní projekt s programem certifikací strategických technologií.</w:t>
      </w:r>
    </w:p>
    <w:p w14:paraId="00D8D629" w14:textId="77777777" w:rsidR="00EB5AC6" w:rsidRPr="00A63654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V rámci této komponenty bude podpořen i základní rozvoj kvantové infrastruktury, které jsou označeny jako evropský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flagship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>. S vybudováním kvantové infrastruktury dojde k možnosti dramatického zvýšení kvality a rychlosti výpočtů. V neposlední řadě tím dojde také k posílení celého průmyslového odvětví včetně obranného a bezpečnostního.</w:t>
      </w:r>
    </w:p>
    <w:p w14:paraId="199C92B4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lastRenderedPageBreak/>
        <w:t>Aktuální pandemická situace přinesla řadu výzev nejen v podobě zdravotní, společenské a ekonomické krize, ale také v oblasti inovací. Mnoho inovativních firem zároveň osvědčilo v první vlně pandemie na jaře 2020, že jejich řešení ulehčila a zmírnila nutná omezení a jimi dané překážky pro běžný život občanů</w:t>
      </w:r>
    </w:p>
    <w:p w14:paraId="26B4B286" w14:textId="77777777" w:rsidR="00EB5AC6" w:rsidRPr="007A4BFB" w:rsidRDefault="00EB5AC6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Na základě výše uvedených doporučení a analýz byly v oblasti digitální ekonomiky, rozvoje moderních technologií a digitální transformace jasně identifikovány tři oblasti, kde je nutné přijmout reformy a investice v rámci Národního plánu obnovy:</w:t>
      </w:r>
    </w:p>
    <w:p w14:paraId="7D318752" w14:textId="77777777" w:rsidR="00EB5AC6" w:rsidRPr="007A4BFB" w:rsidRDefault="00EB5AC6" w:rsidP="3AF2AF2D">
      <w:pPr>
        <w:numPr>
          <w:ilvl w:val="0"/>
          <w:numId w:val="11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Digitalizace podniků, zejména SME a infrastruktura nutná pro jejich digitální transformaci.</w:t>
      </w:r>
    </w:p>
    <w:p w14:paraId="702145AA" w14:textId="77777777" w:rsidR="00EB5AC6" w:rsidRPr="007A4BFB" w:rsidRDefault="00EB5AC6" w:rsidP="3AF2AF2D">
      <w:pPr>
        <w:numPr>
          <w:ilvl w:val="0"/>
          <w:numId w:val="11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Podpora nových technologií a firem typu start-up a spin-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off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a budování digitálních šampionů.</w:t>
      </w:r>
    </w:p>
    <w:p w14:paraId="477A9081" w14:textId="77777777" w:rsidR="00EB5AC6" w:rsidRPr="007A4BFB" w:rsidRDefault="00EB5AC6" w:rsidP="3AF2AF2D">
      <w:pPr>
        <w:numPr>
          <w:ilvl w:val="0"/>
          <w:numId w:val="11"/>
        </w:num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Zvláštní důraz na rozvoj klíčových a strategických technologií, zejména AI.</w:t>
      </w:r>
    </w:p>
    <w:p w14:paraId="4406878B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color w:val="000000"/>
          <w:sz w:val="20"/>
          <w:szCs w:val="20"/>
        </w:rPr>
      </w:pPr>
    </w:p>
    <w:p w14:paraId="498AC1CD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 xml:space="preserve">b) Cíle </w:t>
      </w:r>
    </w:p>
    <w:p w14:paraId="6B39BB4C" w14:textId="77777777" w:rsidR="00EB5AC6" w:rsidRPr="007A4BFB" w:rsidRDefault="00EB5AC6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Hlavním cílem komponenty je rychlé společenské a ekonomické oživení z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koronavirové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krize prostřednictvím digitalizace, její využití jako příležitosti k digitální transformaci a naplnění cíle Inovační strategie ČR 2019-2030 - navrátit Česko do roku 2030 mezi nejvyspělejší inovační země světa.</w:t>
      </w:r>
    </w:p>
    <w:p w14:paraId="20D34D0B" w14:textId="77777777" w:rsidR="00EB5AC6" w:rsidRPr="007A4BFB" w:rsidRDefault="00EB5AC6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Konkrétně komponenta plně reaguje a odpovídá na doporučení Evropské komise pro ČR v rámci Evropského semestru pro rok 2019 a 2020. Zejména pak v následujících bodech:</w:t>
      </w:r>
    </w:p>
    <w:p w14:paraId="653F7157" w14:textId="77777777" w:rsidR="00EB5AC6" w:rsidRPr="007A4BFB" w:rsidRDefault="00EB5AC6" w:rsidP="3AF2AF2D">
      <w:pPr>
        <w:numPr>
          <w:ilvl w:val="0"/>
          <w:numId w:val="14"/>
        </w:numPr>
        <w:spacing w:before="120"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Zaměřit se v rámci investiční hospodářské politiky na (...) digitální infrastrukturu. </w:t>
      </w:r>
    </w:p>
    <w:p w14:paraId="4DEC0859" w14:textId="77777777" w:rsidR="00EB5AC6" w:rsidRPr="007A4BFB" w:rsidRDefault="00EB5AC6" w:rsidP="3AF2AF2D">
      <w:pPr>
        <w:numPr>
          <w:ilvl w:val="0"/>
          <w:numId w:val="14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Odstranit překážky bránící rozvoji plně funkčního inovačního ekosystému. </w:t>
      </w:r>
    </w:p>
    <w:p w14:paraId="73090DD4" w14:textId="77777777" w:rsidR="00EB5AC6" w:rsidRPr="007A4BFB" w:rsidRDefault="00EB5AC6" w:rsidP="3AF2AF2D">
      <w:pPr>
        <w:numPr>
          <w:ilvl w:val="0"/>
          <w:numId w:val="14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Přijmout veškerá nutná opatření k účinnému řešení pandemie, k udržení ekonomiky a k podpoře následného oživení.</w:t>
      </w:r>
    </w:p>
    <w:p w14:paraId="3D647381" w14:textId="77777777" w:rsidR="00EB5AC6" w:rsidRPr="007A4BFB" w:rsidRDefault="00EB5AC6" w:rsidP="3AF2AF2D">
      <w:pPr>
        <w:numPr>
          <w:ilvl w:val="0"/>
          <w:numId w:val="14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Podpořit malé a střední podniky větším využíváním finančních nástrojů k zajištění podpory likvidity.</w:t>
      </w:r>
    </w:p>
    <w:p w14:paraId="51AFEE82" w14:textId="77777777" w:rsidR="00EB5AC6" w:rsidRPr="007A4BFB" w:rsidRDefault="00EB5AC6" w:rsidP="3AF2AF2D">
      <w:pPr>
        <w:numPr>
          <w:ilvl w:val="0"/>
          <w:numId w:val="14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Zaměřit investice na (...) digitální transformaci, zejména na (...) technologie.</w:t>
      </w:r>
    </w:p>
    <w:p w14:paraId="655DD87A" w14:textId="77777777" w:rsidR="00EB5AC6" w:rsidRPr="007A4BFB" w:rsidRDefault="00EB5AC6" w:rsidP="3AF2AF2D">
      <w:pPr>
        <w:numPr>
          <w:ilvl w:val="0"/>
          <w:numId w:val="14"/>
        </w:num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Zajistit inovativním podnikům přístup k financování a zlepšit spolupráci veřejného a soukromého sektoru v oblasti výzkumu a vývoje. </w:t>
      </w:r>
    </w:p>
    <w:p w14:paraId="5C46A5B2" w14:textId="77777777" w:rsidR="00EB5AC6" w:rsidRPr="007A4BFB" w:rsidRDefault="00EB5AC6" w:rsidP="3AF2AF2D">
      <w:pPr>
        <w:spacing w:before="180" w:after="18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Cíle komponenty proto odpovídají na hlavní obecné zaměření a na konkrétní doporučení EK. Komponenta je zaměřená na vznik a propojení digitálního ekosystému především je cílem: </w:t>
      </w:r>
    </w:p>
    <w:p w14:paraId="1D4F94A7" w14:textId="77777777" w:rsidR="00EB5AC6" w:rsidRPr="007A4BFB" w:rsidRDefault="00EB5AC6" w:rsidP="3AF2AF2D">
      <w:pPr>
        <w:numPr>
          <w:ilvl w:val="0"/>
          <w:numId w:val="12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Rapidně zvýšit intenzitu digitalizace a adopce nových technologií v podnicích, zejména SME, </w:t>
      </w:r>
    </w:p>
    <w:p w14:paraId="11068F3B" w14:textId="77777777" w:rsidR="00EB5AC6" w:rsidRPr="007A4BFB" w:rsidRDefault="00EB5AC6" w:rsidP="3AF2AF2D">
      <w:pPr>
        <w:numPr>
          <w:ilvl w:val="0"/>
          <w:numId w:val="12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Vybudovat řídící a celkovou infrastrukturu umožňující skokovou digitální transformaci,</w:t>
      </w:r>
    </w:p>
    <w:p w14:paraId="43B185A1" w14:textId="77777777" w:rsidR="00EB5AC6" w:rsidRPr="007A4BFB" w:rsidRDefault="00EB5AC6" w:rsidP="3AF2AF2D">
      <w:pPr>
        <w:numPr>
          <w:ilvl w:val="0"/>
          <w:numId w:val="12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Otevřít nové formy financování digitální transformace podniků, zejména SME,</w:t>
      </w:r>
    </w:p>
    <w:p w14:paraId="0C603800" w14:textId="77777777" w:rsidR="00EB5AC6" w:rsidRPr="007A4BFB" w:rsidRDefault="00EB5AC6" w:rsidP="3AF2AF2D">
      <w:pPr>
        <w:numPr>
          <w:ilvl w:val="0"/>
          <w:numId w:val="12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Monitorovat a reagovat na společenské dopady digitalizace,</w:t>
      </w:r>
    </w:p>
    <w:p w14:paraId="6251088D" w14:textId="77777777" w:rsidR="00EB5AC6" w:rsidRPr="007A4BFB" w:rsidRDefault="00EB5AC6" w:rsidP="3AF2AF2D">
      <w:pPr>
        <w:numPr>
          <w:ilvl w:val="0"/>
          <w:numId w:val="12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Podpořit rozvoj klíčových a strategických technologií, zejména umělé inteligence,</w:t>
      </w:r>
    </w:p>
    <w:p w14:paraId="59C1FE09" w14:textId="77777777" w:rsidR="00EB5AC6" w:rsidRPr="007A4BFB" w:rsidRDefault="00EB5AC6" w:rsidP="3AF2AF2D">
      <w:pPr>
        <w:numPr>
          <w:ilvl w:val="0"/>
          <w:numId w:val="12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Podpořit rozvoj inovačního ekosystému, zejména pak inovativních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startupů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>,</w:t>
      </w:r>
    </w:p>
    <w:p w14:paraId="023B7FEE" w14:textId="77777777" w:rsidR="00EB5AC6" w:rsidRDefault="00EB5AC6" w:rsidP="3AF2AF2D">
      <w:pPr>
        <w:numPr>
          <w:ilvl w:val="0"/>
          <w:numId w:val="12"/>
        </w:num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Pomoci vybudovat v Česku nové digitální šampiony.</w:t>
      </w:r>
    </w:p>
    <w:p w14:paraId="3FA78D13" w14:textId="77777777" w:rsidR="00EB5AC6" w:rsidRPr="00A63654" w:rsidRDefault="00EB5AC6" w:rsidP="3AF2AF2D">
      <w:pPr>
        <w:spacing w:after="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19DBF3EA" w14:textId="77777777" w:rsidR="00EB5AC6" w:rsidRPr="00A63654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Cílem podpory strategického průmyslu je především diverzifikace silné závislosti na jednom průmyslovém oboru a zároveň využití silných stránek struktury výroby v ČR. Nutností je vybudování infrastruktury potřebné pro vytváření digitálních modelů výroby, aby došlo k efektivnímu nastavení výroby s vysokou produktivitou. Zároveň pro toto je nutné nastavení dalších podmínek umožňujících sběr dat pro vytváření a využívání modelů (digitálních dvojčat) do reálného světa. Zároveň s tím je nutno uvést, že komplementární produkcí je vývoj a výroba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dronů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a podobných produktů pro civilní a vojenské účely, které mohou být využity pro řešení dalších společenských otázek jako např. sběr dat pro zachování vody v krajině, katastrální a další oblasti.</w:t>
      </w:r>
    </w:p>
    <w:p w14:paraId="2629129B" w14:textId="77777777" w:rsidR="00EB5AC6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Díky této podpoře bude možné vytvářet důležité a náročné </w:t>
      </w:r>
      <w:proofErr w:type="gramStart"/>
      <w:r w:rsidRPr="3AF2AF2D">
        <w:rPr>
          <w:rFonts w:asciiTheme="majorHAnsi" w:eastAsiaTheme="majorEastAsia" w:hAnsiTheme="majorHAnsi" w:cstheme="majorBidi"/>
          <w:sz w:val="20"/>
          <w:szCs w:val="20"/>
        </w:rPr>
        <w:t>3D</w:t>
      </w:r>
      <w:proofErr w:type="gram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výpočty a celkové urychlení komplexních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multifyzikálních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simulací. Dále se očekává kvalitativní skok v počítačovém řízení a rychlé predikce na základě jeho modelu. Kvantové počítání může znamenat kvalitativní skok z dnešních výpočtů trvajících dlouho do náročných výpočtů v reálném čase. V neposlední řadě také předpokládá vytvoření prostředí pro přenos dat nejen z výzkumu, ale také zabezpečené rychlé komunikace pro celkovou bezpečnost ČR.</w:t>
      </w:r>
    </w:p>
    <w:p w14:paraId="10BB7970" w14:textId="77777777" w:rsidR="00EB5AC6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before="200"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lastRenderedPageBreak/>
        <w:t xml:space="preserve">Tato a navazující komponenta také plně korespondují a úzce se doplňují s Programem Digitální Evropa, který pomůže evropským podnikům, zejména menším podnikům, využívat rozsáhlých příležitostí, jež s sebou přináší digitální transformace, rozvíjet se a získat konkurenční výhodu. A to zejména pokud jde o umělou inteligenci, vysoce výkonnou výpočetní techniku a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cloud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computing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>, analýzy velkých objemů dat a kybernetickou bezpečnost. Dále pak částečně i s programem Horizont Evropa pro výzkum a inovace (2021–2027) k posílení vědeckotechnické základny EU a Evropského výzkumného prostoru, ke zvýšení inovační kapacity, konkurenceschopnosti a tvorby pracovních míst v Evropě k plnění priorit občanů a udržení našeho sociálně-ekonomického modelu a hodnot. Samozřejmé je respektování a naplňování rovných příležitostí žen, mužů, LGBTI+ a všech příslušníků menšin.</w:t>
      </w:r>
    </w:p>
    <w:p w14:paraId="032E68DA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before="200"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26791849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c) Národní strategický kontext</w:t>
      </w:r>
    </w:p>
    <w:p w14:paraId="0EA57EFE" w14:textId="77777777" w:rsidR="00EB5AC6" w:rsidRPr="007A4BFB" w:rsidRDefault="00EB5AC6" w:rsidP="3AF2AF2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Inovační strategie ČR 2019-2030 a Program Country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for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the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 </w:t>
      </w:r>
      <w:proofErr w:type="spellStart"/>
      <w:r w:rsidRPr="3AF2AF2D">
        <w:rPr>
          <w:rFonts w:asciiTheme="majorHAnsi" w:eastAsiaTheme="majorEastAsia" w:hAnsiTheme="majorHAnsi" w:cstheme="majorBidi"/>
          <w:sz w:val="20"/>
          <w:szCs w:val="20"/>
        </w:rPr>
        <w:t>Future</w:t>
      </w:r>
      <w:proofErr w:type="spellEnd"/>
      <w:r w:rsidRPr="3AF2AF2D">
        <w:rPr>
          <w:rFonts w:asciiTheme="majorHAnsi" w:eastAsiaTheme="majorEastAsia" w:hAnsiTheme="majorHAnsi" w:cstheme="majorBidi"/>
          <w:sz w:val="20"/>
          <w:szCs w:val="20"/>
        </w:rPr>
        <w:t>.</w:t>
      </w:r>
    </w:p>
    <w:p w14:paraId="7E0591EA" w14:textId="77777777" w:rsidR="00EB5AC6" w:rsidRPr="007A4BFB" w:rsidRDefault="00EB5AC6" w:rsidP="3AF2AF2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Strategie Digitální Česko – koncepce Digitální ekonomika a společnost,</w:t>
      </w:r>
    </w:p>
    <w:p w14:paraId="36BBAE54" w14:textId="77777777" w:rsidR="00EB5AC6" w:rsidRDefault="00EB5AC6" w:rsidP="3AF2AF2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Národní strategie umělé inteligence v ČR,</w:t>
      </w:r>
    </w:p>
    <w:p w14:paraId="591B8AC8" w14:textId="77777777" w:rsidR="00EB5AC6" w:rsidRPr="00466612" w:rsidRDefault="00EB5AC6" w:rsidP="3AF2AF2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Národní výzkumná a inovační strategie pro inteligentní specializaci ČR 2021-2027,</w:t>
      </w:r>
    </w:p>
    <w:p w14:paraId="10A7F253" w14:textId="77777777" w:rsidR="00EB5AC6" w:rsidRPr="007A4BFB" w:rsidRDefault="00EB5AC6" w:rsidP="3AF2AF2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Koncepce rozvoje kapitálového trhu v ČR,</w:t>
      </w:r>
    </w:p>
    <w:p w14:paraId="16082190" w14:textId="77777777" w:rsidR="00EB5AC6" w:rsidRPr="007A4BFB" w:rsidRDefault="00EB5AC6" w:rsidP="3AF2AF2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Strategie podpory malých a středních podniků v České republice pro období 2021–2027,</w:t>
      </w:r>
    </w:p>
    <w:p w14:paraId="50FC48C2" w14:textId="77777777" w:rsidR="00EB5AC6" w:rsidRPr="007A4BFB" w:rsidRDefault="00EB5AC6" w:rsidP="3AF2AF2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Investice prostřednictvím OP P</w:t>
      </w:r>
      <w:r w:rsidRPr="3AF2AF2D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IK 2014-2020 a OP TAK do digitálních projekt</w:t>
      </w:r>
      <w:r w:rsidRPr="3AF2AF2D">
        <w:rPr>
          <w:rFonts w:asciiTheme="majorHAnsi" w:eastAsiaTheme="majorEastAsia" w:hAnsiTheme="majorHAnsi" w:cstheme="majorBidi"/>
          <w:sz w:val="20"/>
          <w:szCs w:val="20"/>
        </w:rPr>
        <w:t>ů.</w:t>
      </w:r>
    </w:p>
    <w:p w14:paraId="79802432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43F99DAE" w14:textId="76846BEC" w:rsidR="00EB5AC6" w:rsidRPr="007A4BFB" w:rsidRDefault="71EC1E02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97561E3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 xml:space="preserve">d) </w:t>
      </w:r>
      <w:r w:rsidR="00EB5AC6" w:rsidRPr="397561E3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Předchozí snahy</w:t>
      </w:r>
    </w:p>
    <w:p w14:paraId="5A22FE71" w14:textId="77777777" w:rsidR="00EB5AC6" w:rsidRPr="007A4BFB" w:rsidRDefault="00EB5AC6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>Komponenta nejen navazuje na již existující předkrizové iniciativy, ale především je rozvíjí s ohledem na ekonomické a sociální dopady, především s ohledem na pomoc SME. V oblasti podpory rozšíření klíčových a strategických technologií a koncepčního rozvoje digitálního ekosystému v ČR je komponenta též v souladu s Národní RIS3 strategii 2021-2027. Reformy v rámci komponenty zahrnují aktivity pro digitální transformaci – od vytvoření infrastruktury v rámci Evropského ekosystému až po samotné programy podpory digitalizace. Navazují přitom na aktivity a strategické dokumenty na úrovni ČR a EU, kromě prioritní podpory SME, pak především podporu příslušných technologií, v čele s umělou inteligencí. Komponenta tak plně navazuje na priority EU, především v oblasti digitální agendy.</w:t>
      </w:r>
    </w:p>
    <w:p w14:paraId="00000048" w14:textId="77777777" w:rsidR="007D49E4" w:rsidRPr="007A4BFB" w:rsidRDefault="00603083" w:rsidP="397561E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97561E3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 xml:space="preserve">3. Popis reforem a investic komponenty </w:t>
      </w:r>
    </w:p>
    <w:p w14:paraId="525BB202" w14:textId="77777777" w:rsidR="00A52833" w:rsidRDefault="00A52833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</w:p>
    <w:p w14:paraId="0000004A" w14:textId="5162B236" w:rsidR="007D49E4" w:rsidRPr="007A4BFB" w:rsidRDefault="00603083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a) Popis reforem</w:t>
      </w:r>
    </w:p>
    <w:p w14:paraId="0F9C7DD4" w14:textId="0633D0F9" w:rsidR="00A52833" w:rsidRDefault="00623093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t xml:space="preserve">Společnou ambicí všech reforem v rámci komponenty je především pomoci rychlému znovuoživení ekonomiky. </w:t>
      </w:r>
      <w:r w:rsidR="00466612" w:rsidRPr="3AF2AF2D">
        <w:rPr>
          <w:rFonts w:asciiTheme="majorHAnsi" w:eastAsiaTheme="majorEastAsia" w:hAnsiTheme="majorHAnsi" w:cstheme="majorBidi"/>
          <w:sz w:val="20"/>
          <w:szCs w:val="20"/>
        </w:rPr>
        <w:t xml:space="preserve">Trojice </w:t>
      </w:r>
      <w:r w:rsidR="00DD0E46" w:rsidRPr="3AF2AF2D">
        <w:rPr>
          <w:rFonts w:asciiTheme="majorHAnsi" w:eastAsiaTheme="majorEastAsia" w:hAnsiTheme="majorHAnsi" w:cstheme="majorBidi"/>
          <w:sz w:val="20"/>
          <w:szCs w:val="20"/>
        </w:rPr>
        <w:t xml:space="preserve">na sebe navazujících </w:t>
      </w:r>
      <w:r w:rsidR="00466612" w:rsidRPr="3AF2AF2D">
        <w:rPr>
          <w:rFonts w:asciiTheme="majorHAnsi" w:eastAsiaTheme="majorEastAsia" w:hAnsiTheme="majorHAnsi" w:cstheme="majorBidi"/>
          <w:sz w:val="20"/>
          <w:szCs w:val="20"/>
        </w:rPr>
        <w:t xml:space="preserve">reforem v rámci této komponenty </w:t>
      </w:r>
      <w:r w:rsidR="00DD0E46" w:rsidRPr="3AF2AF2D">
        <w:rPr>
          <w:rFonts w:asciiTheme="majorHAnsi" w:eastAsiaTheme="majorEastAsia" w:hAnsiTheme="majorHAnsi" w:cstheme="majorBidi"/>
          <w:sz w:val="20"/>
          <w:szCs w:val="20"/>
        </w:rPr>
        <w:t xml:space="preserve">(1.4) a reforma v rámci následující komponenty (1.5) </w:t>
      </w:r>
      <w:r w:rsidR="00466612" w:rsidRPr="3AF2AF2D">
        <w:rPr>
          <w:rFonts w:asciiTheme="majorHAnsi" w:eastAsiaTheme="majorEastAsia" w:hAnsiTheme="majorHAnsi" w:cstheme="majorBidi"/>
          <w:sz w:val="20"/>
          <w:szCs w:val="20"/>
        </w:rPr>
        <w:t>pokrýv</w:t>
      </w:r>
      <w:r w:rsidR="00DD0E46" w:rsidRPr="3AF2AF2D">
        <w:rPr>
          <w:rFonts w:asciiTheme="majorHAnsi" w:eastAsiaTheme="majorEastAsia" w:hAnsiTheme="majorHAnsi" w:cstheme="majorBidi"/>
          <w:sz w:val="20"/>
          <w:szCs w:val="20"/>
        </w:rPr>
        <w:t>ají</w:t>
      </w:r>
      <w:r w:rsidR="00466612" w:rsidRPr="3AF2AF2D">
        <w:rPr>
          <w:rFonts w:asciiTheme="majorHAnsi" w:eastAsiaTheme="majorEastAsia" w:hAnsiTheme="majorHAnsi" w:cstheme="majorBidi"/>
          <w:sz w:val="20"/>
          <w:szCs w:val="20"/>
        </w:rPr>
        <w:t xml:space="preserve"> celé spektrum digitální transformace ekonomiky, která je jedním z hlavních nástrojů obnovy a zvýšení konkurenceschopnosti podniků, především SME. </w:t>
      </w:r>
      <w:r w:rsidRPr="3AF2AF2D">
        <w:rPr>
          <w:rFonts w:asciiTheme="majorHAnsi" w:eastAsiaTheme="majorEastAsia" w:hAnsiTheme="majorHAnsi" w:cstheme="majorBidi"/>
          <w:sz w:val="20"/>
          <w:szCs w:val="20"/>
        </w:rPr>
        <w:t>Vzájemná návaznost reforem a investic je znázorněna na diagramu níže:</w:t>
      </w:r>
    </w:p>
    <w:p w14:paraId="0CE4A159" w14:textId="77777777" w:rsidR="0017667B" w:rsidRDefault="0017667B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61B9E2F0" w14:textId="62133F90" w:rsidR="00466612" w:rsidRDefault="0017667B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77A5EF1" wp14:editId="54F27B9B">
            <wp:extent cx="6120130" cy="3463925"/>
            <wp:effectExtent l="0" t="0" r="1270" b="3175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6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C62A3" w14:textId="77777777" w:rsidR="00454475" w:rsidRPr="00A52833" w:rsidRDefault="00454475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</w:p>
    <w:p w14:paraId="5C1130F4" w14:textId="77777777" w:rsidR="0017667B" w:rsidRDefault="0017667B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br w:type="page"/>
      </w:r>
    </w:p>
    <w:p w14:paraId="0000004C" w14:textId="3A0E9259" w:rsidR="007D49E4" w:rsidRPr="00A52833" w:rsidRDefault="00A52833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lastRenderedPageBreak/>
        <w:t>1.</w:t>
      </w:r>
      <w:r w:rsidR="0097007C"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</w:t>
      </w: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Institucionální reforma systému koordinace a podpory digitální agendy a digitální transformace, vč. RIS 3 - řídící aktivita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D49E4" w:rsidRPr="007A4BFB" w14:paraId="554D5086" w14:textId="77777777" w:rsidTr="3AF2AF2D">
        <w:tc>
          <w:tcPr>
            <w:tcW w:w="2405" w:type="dxa"/>
          </w:tcPr>
          <w:p w14:paraId="0000004D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0000004E" w14:textId="501768C6" w:rsidR="007D49E4" w:rsidRPr="007A4BFB" w:rsidRDefault="26D50842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Cílem nástroje pro obnovu a odolnost (RRF) je zmírnit hospodářský a sociální dopad opatření přijatých proti pandemii </w:t>
            </w:r>
            <w:proofErr w:type="spellStart"/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koronaviru</w:t>
            </w:r>
            <w:proofErr w:type="spellEnd"/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 zajistit, aby byly evropské ekonomiky a společnosti lépe připraveny na zelený a digitální přechod. Samotná Komise uvádí, že RRF má potenciál být “game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changer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” v oblasti umělé inteligence a automatizace podniků. Pro koordinaci jednotlivých kroků digitální transformace ekonomiky zasažené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koronavirovou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krizí je třeba </w:t>
            </w:r>
            <w:r w:rsidR="0046661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reformovat existující systém 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Výbor pro digitální </w:t>
            </w:r>
            <w:r w:rsidR="0046661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ekonomiku a společnost</w:t>
            </w:r>
            <w:r w:rsidR="00DD0E4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řídící pilíř Digitální ekonomika a společnost – strategie Digitální Česko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Celý nově vzniklý robustní systém, digitální transformace </w:t>
            </w:r>
            <w:r w:rsidR="0046661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ekonomiky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musí být navázán na systém podpory identifikace a šíření perspektivních technologií, zvyšování digitálních dovedností a využívání inovačního potenciálu českého průmyslového i akademického prostředí.</w:t>
            </w:r>
          </w:p>
        </w:tc>
      </w:tr>
      <w:tr w:rsidR="007D49E4" w:rsidRPr="007A4BFB" w14:paraId="61B1F742" w14:textId="77777777" w:rsidTr="3AF2AF2D">
        <w:tc>
          <w:tcPr>
            <w:tcW w:w="2405" w:type="dxa"/>
          </w:tcPr>
          <w:p w14:paraId="0000004F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0000052" w14:textId="339FAADF" w:rsidR="007D49E4" w:rsidRPr="007A4BFB" w:rsidRDefault="26D50842" w:rsidP="3AF2AF2D">
            <w:pPr>
              <w:spacing w:after="24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 reformě zaměřené na koncepční rozvoj digitálního ekosystému v ČR a na vytvoření infrastruktury pro digitální transformaci je hlavním cílem zajištění podmínek pro propojení aktérů napříč celým digitální ekosystémem.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Tuto koordinační roli bude vykonávat Výbor pro digitální transformaci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který bude spolupracovat se strukturami RIS3 strategie </w:t>
            </w:r>
            <w:proofErr w:type="gramStart"/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ČR.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proofErr w:type="gram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Cílem je zvýšit povědomí nejen podniků a firem, ale i celé společnosti o možnostech využívání nových technologií a o postupné digitalizaci veškerých procesů. S tím souvisí rozvíjení komplexního systému podpory identifikace a šíření nových a klíčových technologií, které mají strategický význam pro transformaci klíčových odvětví ČR a jejich posun k vyšší přidané hodnotě založené na znalostech a inovacích. Součástí cíle je implementace optimálních a efektivních řešení a s nimi spojeného soustavného, vzdělávání v oblasti nových technologií. Cílem je také vytvoření mohutné znalostní báze na jednom místě, propojení všech aktérů a koordinovanému přístupu k digitální transformaci a zvyšování digitálních dovedností s důrazem na jejich interdisciplinaritu</w:t>
            </w:r>
            <w:r w:rsidR="00DD0E4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D49E4" w:rsidRPr="007A4BFB" w14:paraId="66152AF3" w14:textId="77777777" w:rsidTr="3AF2AF2D">
        <w:tc>
          <w:tcPr>
            <w:tcW w:w="2405" w:type="dxa"/>
          </w:tcPr>
          <w:p w14:paraId="00000053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5958B6EC" w14:textId="5C1F5A22" w:rsidR="00DD0E46" w:rsidRPr="007A4BFB" w:rsidRDefault="00DD0E46" w:rsidP="3AF2AF2D">
            <w:pPr>
              <w:spacing w:after="24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Klíčovým prvkem bude reforma Výboru pro </w:t>
            </w:r>
            <w:r w:rsidR="2E15CD8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digitální ekonomiku a společnost a jeho proměna na Výbor pro digitální transformaci zastřešující celý systém (reformy 1.4.2, 1.4.3 a 1.5.1). </w:t>
            </w:r>
            <w:r w:rsidR="0062309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Podstatou reformy je vytvoření flexibilnější a akceschopnější struktury koordinace a podpory digitální transformace ekonomiky, včetně redukce institucionálních stupňů, například sloučením s Výborem pro AI (v rámci revize Národní strategie umělé inteligence). </w:t>
            </w:r>
            <w:r w:rsidR="2E15CD8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Zásadní pro úspěch této reformy je </w:t>
            </w:r>
            <w:r w:rsidR="39B9E9E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pak </w:t>
            </w:r>
            <w:r w:rsidR="2E15CD8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doplnění o řídící a podpůrné aktivity v navazujících investicích.</w:t>
            </w:r>
            <w:r w:rsidR="0062309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Komplexní reforma bude implementována s navazujícími investicemi a provázáním celého systému v období do roku 2025, samotná redukce bude provedena 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 roce 2021 a 2022.</w:t>
            </w:r>
          </w:p>
          <w:p w14:paraId="46C979F8" w14:textId="114DD104" w:rsidR="006A10D7" w:rsidRDefault="00623093" w:rsidP="3AF2AF2D">
            <w:pPr>
              <w:spacing w:after="24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Klíčovým nástrojem reformy je mimo jiné 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využití a podpora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komplexního systému podpory identifikace a difúze nových a klíčových technologií v rámci Národní RIS3 strategie 2021-2027, jejímž gestorem je MPO. 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Výbor pro digitální transformaci bude spolupracovat s implementačními strukturami Národní RIS3 strategie, což povede k </w:t>
            </w:r>
            <w:r w:rsidR="696110B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rozvíjení komplexního systému podpory identifikace a šíření nových a klíčových technologií. Tento systém napomůže mimo jiné identifikaci nových technologií a trendů a generování relevantních témat výzkumu, inovací a misí, které mají strategický význam pro transformaci klíčových odvětví v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 </w:t>
            </w:r>
            <w:r w:rsidR="696110B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ČR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r w:rsidR="696110B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digitalizaci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jsou relevantní pro investice v rámci této reformy</w:t>
            </w:r>
            <w:r w:rsidR="696110B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 S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oučástí implementace reformy bude</w:t>
            </w:r>
            <w:r w:rsidR="696110B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zpracování analytických studií,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expertních koncepčních prací,</w:t>
            </w:r>
            <w:r w:rsidR="696110B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 jejich provázání na činnost Výboru a RIS3 strategii.</w:t>
            </w:r>
            <w:r w:rsidR="696110B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6E1AB731"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Realizace podpůrných aktivit reformy bude probíhat formou veřejných zakázek na expertní služby.</w:t>
            </w:r>
          </w:p>
          <w:p w14:paraId="00000054" w14:textId="33F0D8BB" w:rsidR="007D49E4" w:rsidRPr="007A4BFB" w:rsidRDefault="00DD0E46" w:rsidP="3AF2AF2D">
            <w:pPr>
              <w:spacing w:after="24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 xml:space="preserve">Komise také doporučuje sdílení osvědčených postupů mezi členskými státy při vytváření vnitrostátních koalic pro digitalizaci, umělou inteligenci a automatizaci. 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poluprác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partnerství veřejného a soukromého sektoru v oblasti umělé inteligence, dat a robotiky napomůže přeshraniční spolupráci</w:t>
            </w:r>
            <w:r w:rsidR="0062309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D49E4" w:rsidRPr="007A4BFB" w14:paraId="58D6E760" w14:textId="77777777" w:rsidTr="3AF2AF2D">
        <w:trPr>
          <w:trHeight w:val="70"/>
        </w:trPr>
        <w:tc>
          <w:tcPr>
            <w:tcW w:w="2405" w:type="dxa"/>
          </w:tcPr>
          <w:p w14:paraId="00000055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00000056" w14:textId="209C8EBE" w:rsidR="007D49E4" w:rsidRPr="007A4BFB" w:rsidRDefault="00DD0E46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Implementovat reformu bude Ministerstvo průmyslu a obchodu ČR ve spolupráci s relevantními partnery z akademického a podnikového prostředí. 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Reforma předpokládá zapojení zaměstnavatelských svazů a asociací (SP ČR, AMSP), akademického sektoru (</w:t>
            </w:r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např. 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ČVUT, </w:t>
            </w:r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UK, 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MUNI</w:t>
            </w:r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AV ČR a dalších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), výzkumných a inovačních center (IT4Innovations, regionální inovační centra) a dalších partnerů</w:t>
            </w:r>
            <w:r w:rsidR="4F5B9FB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(např. HK ČR, SOCR ČR, ČUCR)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tak, aby došlo k propojení všech aspektů reformy.</w:t>
            </w:r>
          </w:p>
        </w:tc>
      </w:tr>
      <w:tr w:rsidR="007D49E4" w:rsidRPr="007A4BFB" w14:paraId="6B2612B6" w14:textId="77777777" w:rsidTr="3AF2AF2D">
        <w:tc>
          <w:tcPr>
            <w:tcW w:w="2405" w:type="dxa"/>
          </w:tcPr>
          <w:p w14:paraId="00000057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00000058" w14:textId="050CA75C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Rizikem může být nedostatek finančních prostředků a nevhodně zvolené způsoby financování reformy.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Nedostatečná analýza a monitoring vývoje představují zásadní riziko pro naplňování reforem a účelné vynaložení investic v rámci Národního plánu obnovy. </w:t>
            </w:r>
            <w:proofErr w:type="spellStart"/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Nerealizace</w:t>
            </w:r>
            <w:proofErr w:type="spellEnd"/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tohoto nástroje tak přímo ohrožuje celé naplnění komponenty a navazujících aktivit.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Klíčovým rizikem jsou nedostatečné personální kapacity u implementující instituce (Ministerstvo průmyslu a obchodu ČR).</w:t>
            </w:r>
          </w:p>
        </w:tc>
      </w:tr>
      <w:tr w:rsidR="007D49E4" w:rsidRPr="007A4BFB" w14:paraId="50CB0AC4" w14:textId="77777777" w:rsidTr="3AF2AF2D">
        <w:tc>
          <w:tcPr>
            <w:tcW w:w="2405" w:type="dxa"/>
          </w:tcPr>
          <w:p w14:paraId="00000059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0000005A" w14:textId="1CF3CA26" w:rsidR="007D49E4" w:rsidRPr="007A4BFB" w:rsidRDefault="26D50842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Reforma bude mít pozitivní dopad zejména na malé a střední podniky, ale také na stávající i nové zaměstnance či studenty a jejich připravenost využívat digitální nástroje pomocí zvyšování jejich digitálních dovedností.</w:t>
            </w:r>
          </w:p>
        </w:tc>
      </w:tr>
      <w:tr w:rsidR="007D49E4" w:rsidRPr="007A4BFB" w14:paraId="2D037E48" w14:textId="77777777" w:rsidTr="3AF2AF2D">
        <w:tc>
          <w:tcPr>
            <w:tcW w:w="2405" w:type="dxa"/>
          </w:tcPr>
          <w:p w14:paraId="0000005B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2973AC9D" w14:textId="220BC386" w:rsidR="007D49E4" w:rsidRDefault="26D50842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Reforma předpokládá náklady </w:t>
            </w:r>
            <w:r w:rsidR="3AFE294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9</w:t>
            </w:r>
            <w:r w:rsidR="6E1AB73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mil. Kč v období 2021-202</w:t>
            </w:r>
            <w:r w:rsidR="0097007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5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</w:t>
            </w:r>
          </w:p>
          <w:p w14:paraId="0000005C" w14:textId="55B1D5E8" w:rsidR="0097007C" w:rsidRPr="0097007C" w:rsidRDefault="0097007C" w:rsidP="3AF2AF2D">
            <w:pPr>
              <w:tabs>
                <w:tab w:val="left" w:pos="2055"/>
              </w:tabs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</w:r>
          </w:p>
        </w:tc>
      </w:tr>
      <w:tr w:rsidR="007D49E4" w:rsidRPr="007A4BFB" w14:paraId="770E2705" w14:textId="77777777" w:rsidTr="3AF2AF2D">
        <w:tc>
          <w:tcPr>
            <w:tcW w:w="2405" w:type="dxa"/>
          </w:tcPr>
          <w:p w14:paraId="0000005D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0000005E" w14:textId="518BB9BD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Veškerá veřejná podpora bude </w:t>
            </w:r>
            <w:r w:rsidR="00DD0E4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 souladu s platnou právní úpravou, bez nutnosti notifikace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konkrétních projekt</w:t>
            </w:r>
            <w:r w:rsidR="00DD0E4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ů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</w:t>
            </w:r>
            <w:r w:rsidR="00DD0E4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využití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dočasného rámce a dalších pravidel v souvislosti s implementací RRF/NPO.</w:t>
            </w:r>
          </w:p>
        </w:tc>
      </w:tr>
      <w:tr w:rsidR="007D49E4" w:rsidRPr="007A4BFB" w14:paraId="24C8BC5E" w14:textId="77777777" w:rsidTr="3AF2AF2D">
        <w:tc>
          <w:tcPr>
            <w:tcW w:w="2405" w:type="dxa"/>
          </w:tcPr>
          <w:p w14:paraId="0000005F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0000060" w14:textId="3B4EAE29" w:rsidR="007D49E4" w:rsidRPr="007A4BFB" w:rsidRDefault="00A67E3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2021–2025</w:t>
            </w:r>
          </w:p>
        </w:tc>
      </w:tr>
    </w:tbl>
    <w:p w14:paraId="22C6902A" w14:textId="77777777" w:rsidR="00A52833" w:rsidRDefault="00A52833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</w:p>
    <w:p w14:paraId="6862614C" w14:textId="6DE35652" w:rsidR="00A52833" w:rsidRDefault="00A52833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br w:type="page"/>
      </w:r>
    </w:p>
    <w:p w14:paraId="0000007A" w14:textId="6755F9F0" w:rsidR="007D49E4" w:rsidRPr="007022F7" w:rsidRDefault="00A52833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lastRenderedPageBreak/>
        <w:t xml:space="preserve">2.Nastavení uceleného systému institucionální podpory investic a rozvoje inovativních firem, </w:t>
      </w:r>
      <w:r>
        <w:br/>
      </w: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start-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upů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, a nových technologií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EB5AC6" w:rsidRPr="007A4BFB" w14:paraId="2BDF673D" w14:textId="77777777" w:rsidTr="3AF2AF2D">
        <w:tc>
          <w:tcPr>
            <w:tcW w:w="2405" w:type="dxa"/>
          </w:tcPr>
          <w:p w14:paraId="0000007B" w14:textId="07941376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6C9A2860" w14:textId="77777777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Úspěšné české technologické společnosti, které se prosadily ve světovém kontextu, dosahují věkem až na počátek devadesátých let. Jedním z klíčových důvodů je přitom nedostatek likvidity, který se projevuje v určitých segmentech evropského i českého trhu v oblasti investic a podpory inovací. Navíc od počátku krize se objem investic rizikového kapitálu propadl zatím o 12 procent v meziměsíčním srovnání oproti roku 2019. Lze očekávat, že nedostatek likvidity v některých segmentech může krize jen prohloubit, a to především v oblasti úplného počátku technologických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kde se míra selhání pohybuje minimálně na třetině zainvestovaných projektů. Je proto vhodné nabídnout alternativy k tradičnímu investičnímu financování, zejména s ohledem na snížení míry rizika, která může v nadcházejícím období vzrůst na úroveň, kdy nebude řada jinak potenciálně velmi úspěšných projektů financována, a to zejména právě v kapitálově náročných strategických odvětvích a oborech.</w:t>
            </w:r>
          </w:p>
          <w:p w14:paraId="710BE561" w14:textId="77777777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Dle Analýzy potenciálu rozvoje umělé inteligence v ČR, kterou si nechal zhotovit Úřad vlády ČR v roce 2018 ve spolupráci s TAČR, je problémem českých start-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nedostatek rizikového kapitálu a také výrazně větší financování aktivit z vlastních zdrojů oproti evropským start-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upům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 Z tohoto důvodu je efektivní motivovat soukromé investory k investicím do start-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stejně jako univerzitní/akademické prostředí do tvorby spin-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offů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 Je tedy třeba se zaměřit na příliv rizikového kapitálu do těchto segmentů.</w:t>
            </w:r>
          </w:p>
          <w:p w14:paraId="706BB9D7" w14:textId="77777777" w:rsidR="00EB5AC6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Na podporu začínajících podniků plánuje Evropská Komise spustit investiční schéma pro vybrané technologie, zejména AI 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 První fáze programu proběhla v letech 2020–2021. Komise tak již poskytla 100 milionů euro v rámci programu Horizont 2020. Celkový objem investic v první fázi bude mezi 400–500 miliony euro.</w:t>
            </w:r>
          </w:p>
          <w:p w14:paraId="0000007D" w14:textId="6FC553D4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Dalším problémem je také velmi podrobná regulace některých odvětví, její někdy nejasný výklad nebo s ní spojená délka povolovacích řízení, které ztěžují či dokonce znemožňují zavádění inovativních služeb na trh. Technologické společnosti, zejména start-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malé podniky, které zkouší nové služby a obchodní modely často čelí nepochopení jejich podstaty, jsou nuceny přizpůsobit se platným předpisům či projít komplexním a velmi drahým povolovacím řízením. Hrozí jim tak ztráta konkurenceschopnosti a investorů, kteří nechtějí čekat měsíce a léta v nejistotě, zda nimi podporovaný projekt bude ve výsledků uveden na trh. V kontextu rychle vyvíjejících se technologií je “zlepšování právní úpravy jedním z klíčových předpokladů udržitelného růstu, podpory konkurenceschopnosti, inovaci, digitalizaci a vytváření pracovních míst”, jak zdůraznily členské státy v Závěrech Rady o „regulačních pískovištích“ z 16. listopadu 2020”. Tyto závěry a další evropské dokumenty, např. Strategie pro malé a střední podniky z března 2020, Strategie pro digitální finance ze září 2020 nebo letošní deklarace EU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Nations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Standard, zdůrazňují význam regulatorních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sandboxů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(“regulačních pískovišť”) jako “příležitosti pro inovace a růst všech podniků” a “k pokroku v regulaci”.</w:t>
            </w:r>
          </w:p>
        </w:tc>
      </w:tr>
      <w:tr w:rsidR="00EB5AC6" w:rsidRPr="007A4BFB" w14:paraId="6BBD653B" w14:textId="77777777" w:rsidTr="3AF2AF2D">
        <w:tc>
          <w:tcPr>
            <w:tcW w:w="2405" w:type="dxa"/>
          </w:tcPr>
          <w:p w14:paraId="0000007E" w14:textId="7CF9F005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2CD21437" w14:textId="77777777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Hlavním cílem je pozitivní změna výše popsané situace a využití aktuálních příležitostí v ČR k podpoře inovací. A to především v odvětvích s vysokou přidanou hodnotou a klíčových/strategických digitálních technologiích, které mají buď význam pro zvládání a překonání krizových situací nebo potenciál uspět v mezinárodní konkurenci. Klíčové pro to je zaměřit se na následující výzvy:</w:t>
            </w:r>
          </w:p>
          <w:p w14:paraId="125E5DB2" w14:textId="77777777" w:rsidR="00EB5AC6" w:rsidRPr="0000312B" w:rsidRDefault="00EB5AC6" w:rsidP="3AF2AF2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Nedostatek likvidity potřebné pro podporu všech začínajících nadějných projektů.</w:t>
            </w:r>
          </w:p>
          <w:p w14:paraId="493D35BA" w14:textId="77777777" w:rsidR="00EB5AC6" w:rsidRPr="007A4BFB" w:rsidRDefault="00EB5AC6" w:rsidP="3AF2AF2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Selhání trhu z důvodu zejména vysokého rizika (především u strategických digitálních technologií a regulovaných odvětví).</w:t>
            </w:r>
          </w:p>
          <w:p w14:paraId="4C430606" w14:textId="77777777" w:rsidR="00EB5AC6" w:rsidRPr="0000312B" w:rsidRDefault="00EB5AC6" w:rsidP="3AF2AF2D">
            <w:pPr>
              <w:numPr>
                <w:ilvl w:val="0"/>
                <w:numId w:val="5"/>
              </w:num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Dlouhodobý problém s technologickým transferem,</w:t>
            </w:r>
          </w:p>
          <w:p w14:paraId="424AEBC5" w14:textId="77777777" w:rsidR="00EB5AC6" w:rsidRPr="0000312B" w:rsidRDefault="00EB5AC6" w:rsidP="3AF2AF2D">
            <w:pPr>
              <w:pStyle w:val="Odstavecseseznamem"/>
              <w:numPr>
                <w:ilvl w:val="0"/>
                <w:numId w:val="5"/>
              </w:numPr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Regulační rámec a jeho případná slabá místa brzdící rozvoj inovací, </w:t>
            </w:r>
          </w:p>
          <w:p w14:paraId="4F43CB5E" w14:textId="77777777" w:rsidR="00EB5AC6" w:rsidRPr="0000312B" w:rsidRDefault="00EB5AC6" w:rsidP="3AF2AF2D">
            <w:pPr>
              <w:numPr>
                <w:ilvl w:val="0"/>
                <w:numId w:val="5"/>
              </w:num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Vznikající nové horizontální předpisy, které pokrývají celá odvětví a přímo předpokládají systémové změny pro podporu inovací a usnadnění vstupu firem na trh (např. návrh Nařízení o AI).</w:t>
            </w:r>
          </w:p>
          <w:p w14:paraId="76DDB714" w14:textId="77777777" w:rsidR="00EB5AC6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Nastavení systému institucionální podpory naplní zejména cíle Strategie podpory malých a středních podniků v ČR pro období 2021–2027 a Koncepce rozvoje kapitálového trhu v ČR, Závěry Rady k regulatorním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sandboxům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experimentálním ustanovením, EU Strategie pro malé a střední podniky, EU Strategie pro digitální finance ze září 2020 a návrhu Nařízení o AI, jak bude přijato pro projednání členskými státy. V souladu s cíli Evropské komise pak má zejména zlepšit přístup k financování, především ve formě vlastního kapitálu, inovativním a rizikovým společnostem zabývajícím se klíčovými technologiemi (EK jmenuje zejména AI 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 a zlepšit regulační rámec tak, aby byl vstřícný k inovacím, podporoval konkurenceschopnost, růst, udržitelnost, a regulační učení.</w:t>
            </w:r>
          </w:p>
          <w:p w14:paraId="00000083" w14:textId="32C5639E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ČR přistoupila dne 19. března k evropské deklaraci EU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Nations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Standard, která obsahuje řadu oblastí a aktivit doporučených pro podporu rozvoje start-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upového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ekosytému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EB5AC6" w:rsidRPr="007A4BFB" w14:paraId="33B156B8" w14:textId="77777777" w:rsidTr="3AF2AF2D">
        <w:tc>
          <w:tcPr>
            <w:tcW w:w="2405" w:type="dxa"/>
          </w:tcPr>
          <w:p w14:paraId="00000084" w14:textId="53F5E42E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73CB9B87" w14:textId="77777777" w:rsidR="00EB5AC6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Nejvhodnějším nástrojem pro překonání těchto problémů a dosažení vytyčeného cíle je nastavení spolupráce mezi veřejným a soukromým sektorem tak, aby se mohli soukromí investoři pohybovat v rámci státem předem vymezených kritérií pro využití veřejných prostředků a inovativní společnosti v regulovaných odvětvích rychle a bezpečně uvádět na trh moderní řešení postavené na nejnovějších technologiích. A zároveň analýza a náprava tržních selhání, například v oblasti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pre-seedového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financování. Základem je proto právě snaha o podporu start-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upového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ekosystému, především úsilí o možnou a dosažitelnou implementaci co nejvíce doporučení EU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Nations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Standard.</w:t>
            </w:r>
          </w:p>
          <w:p w14:paraId="651A6E5F" w14:textId="77777777" w:rsidR="00EB5AC6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 tohoto důvodu bude ustavena pracovní skupina pod Výborem pro digitální transformaci, která bude flexibilně koordinovat a nastavovat řešení pro potřeby podpory trhu v této dynamické oblasti. Bude také sloužit jako programová rada navazujících programů podpory.</w:t>
            </w:r>
          </w:p>
          <w:p w14:paraId="420914BE" w14:textId="77777777" w:rsidR="00EB5AC6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EU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Nations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Standard a v nich obsažená doporučení jsou přímým základem pro tuto reformu a na ní navazující investice, ty naplňují ale i další doporučení a strategické dokumenty. Například v souladu i s doporučením NERV bude realizován vznik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koinvestičního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fondového schématu, kde bude soukromá investice doplněna veřejnými prostředky. Je tak ponechána volnost specializovaných soukromých subjektů aplikovat své know-how v oboru při výběru investice s využitím veřejných zdrojů a zároveň jsou motivovány k maximální efektivitě zapojením vlastních finančních zdrojů, a tak zvýšení dostupnosti rizikového kapitálu ve vybraných oblastech. Investiční schémata budou doplněna programy přímé podpory.</w:t>
            </w:r>
          </w:p>
          <w:p w14:paraId="716D9BE1" w14:textId="77777777" w:rsidR="00EB5AC6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Dalším možným nástrojem jsou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sandboxy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které budou v souladu s platnou legislativou a naplní EU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Nations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Standard i Závěry Rady k regulatorním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sandboxům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experimentálním ustanovením a další strategické evropské dokumenty, včetně například návrhu Nařízení o AI. V závislosti na jejich podobě mohou pomoci v praxi otestovat inovativní řešení (technologie, produkty, služby). Testování by mělo probíhat po omezenou dobu a pouze v části sektoru za dohledu tvůrců regulace, kteří tak mohou získat aktuální informace z reálného (nebo realitě blízkého) prostředí, a o možnostech, ale i rizicích testovaného řešení.  Vzhledem k tomu, že regulatorní úprava většiny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odvětví finančního trhu vyplývá z předpisů EU, nemůže testování spočívat ve výjimkách či omezení aplikace platné regulace, nebudou-li umožněny legislativou EU, přitom by žádný subjekt neměl být zvýhodněn oproti jiným subjektům pouze na základě technologie, kterou používá či nabízí (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tech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neutralita). Naváže na ně investice, jejíž realizace bude probíhat v několika fázích, počínaje spuštěním speciálních inovačních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hubů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  <w:p w14:paraId="00000085" w14:textId="1502054C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Metodou při nastavení a realizaci této reformy a investic schématu je postupné spuštění pilotních projektů, ověření funkce v praxi a následnou úpravu nastavení na základě zkušeností z reálné praxe a jejího využití. Vzhledem ke specifikům různých oblastí (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pre-seedových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investic, transferu technologií, či kapitálové a regulatorní náročnosti klíčových strategických odvětví) se bude postupovat v jednotlivých investicích odděleně pro nejvhodnější nastavení nástroje pro danou oblast.</w:t>
            </w:r>
          </w:p>
        </w:tc>
      </w:tr>
      <w:tr w:rsidR="00EB5AC6" w:rsidRPr="007A4BFB" w14:paraId="3AA5D558" w14:textId="77777777" w:rsidTr="3AF2AF2D">
        <w:trPr>
          <w:trHeight w:val="70"/>
        </w:trPr>
        <w:tc>
          <w:tcPr>
            <w:tcW w:w="2405" w:type="dxa"/>
          </w:tcPr>
          <w:p w14:paraId="00000086" w14:textId="3C50B360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00000087" w14:textId="77E0BE89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MPO, MF,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CzechInvest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vysoké školy, Evropský investiční fond, profesní asociace sdružující inovativní společnosti v dotyčných sektorech.</w:t>
            </w:r>
            <w:r w:rsidRPr="3AF2AF2D"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  <w:t xml:space="preserve"> </w:t>
            </w:r>
          </w:p>
        </w:tc>
      </w:tr>
      <w:tr w:rsidR="00EB5AC6" w:rsidRPr="007A4BFB" w14:paraId="572C07B2" w14:textId="77777777" w:rsidTr="3AF2AF2D">
        <w:tc>
          <w:tcPr>
            <w:tcW w:w="2405" w:type="dxa"/>
          </w:tcPr>
          <w:p w14:paraId="00000088" w14:textId="3A82051B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00000089" w14:textId="1AE871A9" w:rsidR="00EB5AC6" w:rsidRPr="0087105F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Klíčovou překážkou a zároveň rizikem může být radikální změna priorit a možností spolupráce ze strany soukromých partnerů.</w:t>
            </w:r>
            <w:r w:rsidRPr="3AF2AF2D"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  <w:t xml:space="preserve">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="00EB5AC6" w:rsidRPr="007A4BFB" w14:paraId="6628238E" w14:textId="77777777" w:rsidTr="3AF2AF2D">
        <w:tc>
          <w:tcPr>
            <w:tcW w:w="2405" w:type="dxa"/>
          </w:tcPr>
          <w:p w14:paraId="0000008A" w14:textId="2A066A35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0000008B" w14:textId="580B8EE6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Nadějné technologické podniky typu start-up a spin-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off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další vysoce inovační soukromé společnosti.</w:t>
            </w:r>
          </w:p>
        </w:tc>
      </w:tr>
      <w:tr w:rsidR="00EB5AC6" w:rsidRPr="007A4BFB" w14:paraId="20AA561F" w14:textId="77777777" w:rsidTr="3AF2AF2D">
        <w:tc>
          <w:tcPr>
            <w:tcW w:w="2405" w:type="dxa"/>
          </w:tcPr>
          <w:p w14:paraId="0000008C" w14:textId="1F629B06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0000008D" w14:textId="0E44B18E" w:rsidR="00EB5AC6" w:rsidRPr="007A4BFB" w:rsidRDefault="00EB5AC6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Reforma předpokládá náklady 9 mil. Kč v období 2021-2025.</w:t>
            </w:r>
          </w:p>
        </w:tc>
      </w:tr>
      <w:tr w:rsidR="00EB5AC6" w:rsidRPr="007A4BFB" w14:paraId="34B23C77" w14:textId="77777777" w:rsidTr="3AF2AF2D">
        <w:tc>
          <w:tcPr>
            <w:tcW w:w="2405" w:type="dxa"/>
          </w:tcPr>
          <w:p w14:paraId="0000008E" w14:textId="7A56CA37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0000008F" w14:textId="6FBC0307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Veškerá veřejná podpora bude projednána a popřípadě notifikována v závislosti na konkrétních projektech a změnách dočasného rámce a dalších pravidel v souvislosti s implementací RRF/NPO.</w:t>
            </w:r>
          </w:p>
        </w:tc>
      </w:tr>
      <w:tr w:rsidR="00EB5AC6" w:rsidRPr="007A4BFB" w14:paraId="1E1BEFD4" w14:textId="77777777" w:rsidTr="3AF2AF2D">
        <w:tc>
          <w:tcPr>
            <w:tcW w:w="2405" w:type="dxa"/>
          </w:tcPr>
          <w:p w14:paraId="00000090" w14:textId="4704549F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0000091" w14:textId="0A43CA79" w:rsidR="00EB5AC6" w:rsidRPr="007A4BFB" w:rsidRDefault="00EB5AC6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Plánovaná doba realizace je 2021–2025.</w:t>
            </w:r>
          </w:p>
        </w:tc>
      </w:tr>
    </w:tbl>
    <w:p w14:paraId="60A285A9" w14:textId="77777777" w:rsidR="00CE7CEC" w:rsidRDefault="00CE7CEC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3E897AA0" w14:textId="77777777" w:rsidR="00CE7CEC" w:rsidRDefault="00CE7CEC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br w:type="page"/>
      </w:r>
    </w:p>
    <w:p w14:paraId="23BD75C1" w14:textId="46C36E97" w:rsidR="00A52833" w:rsidRPr="007022F7" w:rsidRDefault="00CE7CEC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lastRenderedPageBreak/>
        <w:t xml:space="preserve">3. Podpora strategických </w:t>
      </w:r>
      <w:r w:rsidR="00A7078D"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odvětví – společná</w:t>
      </w: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 xml:space="preserve"> skupina pro podporu a certifikace strategických technologií s Radou pro strategické technologie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A52833" w:rsidRPr="007A4BFB" w14:paraId="5B0BBB40" w14:textId="77777777" w:rsidTr="3AF2AF2D">
        <w:tc>
          <w:tcPr>
            <w:tcW w:w="2405" w:type="dxa"/>
          </w:tcPr>
          <w:p w14:paraId="365B1F9E" w14:textId="77777777" w:rsidR="00A52833" w:rsidRPr="007A4BFB" w:rsidRDefault="00A5283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CFFC3E9" w14:textId="52767018" w:rsidR="00A52833" w:rsidRPr="007A4BFB" w:rsidRDefault="36646B11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České subjekty dlouhodobě ztráce</w:t>
            </w:r>
            <w:r w:rsidR="0017667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jí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konkurenceschopnost v náročných oborech</w:t>
            </w:r>
            <w:r w:rsidR="0017667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jako jsou letectví, vesmírné aplikace, výroba zdravotnických prostředků, </w:t>
            </w:r>
            <w:r w:rsidR="0017667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ale i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kosmetiky a potravin</w:t>
            </w:r>
            <w:r w:rsidR="0017667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které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se vyznačují velkou mírou interakce s regulátory a akceptací společných standardů výrobních procesů a produktů. Certifikáty managementu jakosti jsou nyní v ČR zavedeny pouze u malého počtu podniků.  Tuzemské firmy tak výrazně zaostávají za konkurencí z jiných evropských států (např. Francie, Německa, Belgie). Situace v posledních měsících navíc ukázala na problematiku notifikovaných osob a certifikace zdravotnických prostředků dle EU MDR 2017/745, IVDR 2017/746. Tato situace tedy znamená, že české subjekty nebudou moci od 26.5.2021 získat certifikáty pro zdravotnické prostředky (ZP) v ČR. Ti výrobci, kteří stihnou podat po tomto datu, budou mít certifikáty v platnosti pouze do r. 2024. Druhým příkladem je letecký průmysl, který navíc krizí COVID19 značně poškozen. Cílem je tedy podpora těch institucí v ČR, aby mohly mít zajištěnou kapacitu a potřebná oprávnění, a zároveň umožnit českým firmám, aby pro ně byla certifikace dostupnější. Oproti svým kolegům v jiných zemích mají tu nevýhodu, že veškerá dokumentace a zpracované podklady včetně překladů velmi prodražují náklady na certifikaci a jsou tak do značné míry znevýhodněny oproti firmám, které žádané certifikace ve svém domovském státu. Pandemie ukázala, že současný stav v ČR je nedostačující a české subjekty se musel</w:t>
            </w:r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y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obracet na instituce v zahraničí, což ale jednak nebylo někdy možné, jednak zde byly dlouhé čekají lhůty a jednak se značně prodražil celý certifikační proces (náklady na vysoce odborné překlady apod.). Navržená podpora včetně výše potřebné investice byla konzultována např. Výzkumným a zkušebním leteckým ústavem (VZLÚ), Asociací leteckých a kosmických výrobců České republiky či Asociací výrobců a dodavatelů zdravotnických prostředků (AVDZP).</w:t>
            </w:r>
          </w:p>
        </w:tc>
      </w:tr>
      <w:tr w:rsidR="00A52833" w:rsidRPr="007A4BFB" w14:paraId="2F3A10E5" w14:textId="77777777" w:rsidTr="3AF2AF2D">
        <w:tc>
          <w:tcPr>
            <w:tcW w:w="2405" w:type="dxa"/>
          </w:tcPr>
          <w:p w14:paraId="6C1B7EE2" w14:textId="77777777" w:rsidR="00A52833" w:rsidRPr="007A4BFB" w:rsidRDefault="00A5283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6844B754" w14:textId="2F45955B" w:rsidR="00A52833" w:rsidRPr="00A63654" w:rsidRDefault="36646B11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Cílem </w:t>
            </w:r>
            <w:r w:rsidR="6FEA345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reformy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je zvýšení konkurenceschopnosti českých podniků na mezinárodních trzích a zlepšení managementu jakosti a procesů, a to prostřednictvím zajištění sítě akreditovaných laboratoří s dostatečnou kapacitou pro testování včetně zajištění kvalifikovaných pracovníků pro oblast certifikace a usnadnění implementace administrativně náročných produktových standardů a standardů systémů řízení, které nejsou v ČR majoritně rozšířeny. Prostřednictvím projektu budou vytvořeny podmínky pro vznik a rozvoj kvalifikovaných pracovních míst, firmám z ČR se rozšíří možnosti získání zakázek a lepší výchozí pozice při podávání nabídek u náročné výroby a zlepšení dostupnosti znalostí, které se dosud ve velké míře objednávali mimo ČR. Konečným výstupem bude tedy uvedení větší množství produktů na trh, odstranění překážek při jejich uvádění na trh a odstranění překážek pro dodávky na bonitní trhy. V případě leteckého průmyslu se bude např. konkrétně jednat o zvýšení počtu firem certifikovaných dle NADCAP, ECSS, AS9100 a dle pravidel U.S.FDA (v případě leteckého průmyslu).</w:t>
            </w:r>
          </w:p>
        </w:tc>
      </w:tr>
      <w:tr w:rsidR="00A52833" w:rsidRPr="007A4BFB" w14:paraId="3687E1F7" w14:textId="77777777" w:rsidTr="3AF2AF2D">
        <w:tc>
          <w:tcPr>
            <w:tcW w:w="2405" w:type="dxa"/>
          </w:tcPr>
          <w:p w14:paraId="61A6F2F0" w14:textId="77777777" w:rsidR="00A52833" w:rsidRPr="007A4BFB" w:rsidRDefault="00A5283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5CC2C18B" w14:textId="0A8DA18A" w:rsidR="00A52833" w:rsidRPr="007A4BFB" w:rsidRDefault="00A5283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Ministerstvo průmyslu a obchodu ČR ve spolupráci s </w:t>
            </w:r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Agenturou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CzechInvest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Podporovány budou aktivity směřující k získání certifikátů managementu jakosti a produktových certifikátů a registrací vyžadovaných regulátorem pro uvedení na národní trh. Jedná se tedy o konzultační a poradenské služby, příprava dokumentace ke správné výrobní praxi, přípravu dokumentů včetně laboratorních zkoušek a překladů potřebných dokumentů a v neposlední řadě i podpora samotné certifikace. V případě samo samotné infrastruktury, tedy výzkumných center a laboratoří (vč. soukromé sféry), by šla podpora konkrétně na dovybavení laboratoří, proces akreditací a celkově nákupy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hi-tech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strojů. Podpora by byla zaměřena zejména na: a)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Advanced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materials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and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technologies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composites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additive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manufacturing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laser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applications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…); b) Green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technologies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(hybrid/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electric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propulsion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decarbonization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noise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reduction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biofuel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sustainability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air transport…</w:t>
            </w:r>
            <w:proofErr w:type="gram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 ;</w:t>
            </w:r>
            <w:proofErr w:type="gram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c)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Automation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and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digitization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; d)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Unmanned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Aerial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Vehicle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(UAV)/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Unmanned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Aircraft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Systems (UAS) ; e) Urban Air Mobility (UAM) ; f) Software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applications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; g)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Industry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4.0 in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Aerospace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(AI,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IoT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Big Data). Podpora bude zaměřena též na to včetně zavádění prvků automatizace a robotizace a digitalizace podniku. Uvedené okruhy tedy zcela zapadají do cílů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Recovery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and </w:t>
            </w:r>
            <w:proofErr w:type="spellStart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Resilience</w:t>
            </w:r>
            <w:proofErr w:type="spellEnd"/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Fondu.</w:t>
            </w:r>
          </w:p>
        </w:tc>
      </w:tr>
      <w:tr w:rsidR="00A52833" w:rsidRPr="007A4BFB" w14:paraId="01980185" w14:textId="77777777" w:rsidTr="3AF2AF2D">
        <w:trPr>
          <w:trHeight w:val="70"/>
        </w:trPr>
        <w:tc>
          <w:tcPr>
            <w:tcW w:w="2405" w:type="dxa"/>
          </w:tcPr>
          <w:p w14:paraId="15F48CDC" w14:textId="77777777" w:rsidR="00A52833" w:rsidRPr="007A4BFB" w:rsidRDefault="00A5283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61CC9C60" w14:textId="77777777" w:rsidR="00A52833" w:rsidRPr="007A4BFB" w:rsidRDefault="00A5283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Zapojeny budou: výzkumné organizace, VZLÚ, průmysloví partneři v oboru</w:t>
            </w:r>
          </w:p>
        </w:tc>
      </w:tr>
      <w:tr w:rsidR="00A52833" w:rsidRPr="007A4BFB" w14:paraId="32747DC1" w14:textId="77777777" w:rsidTr="3AF2AF2D">
        <w:tc>
          <w:tcPr>
            <w:tcW w:w="2405" w:type="dxa"/>
          </w:tcPr>
          <w:p w14:paraId="3F7EFB59" w14:textId="77777777" w:rsidR="00A52833" w:rsidRPr="007A4BFB" w:rsidRDefault="00A5283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057D495F" w14:textId="20878694" w:rsidR="00A52833" w:rsidRPr="007A4BFB" w:rsidRDefault="00A5283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Nedostatek finančních prostředků a prodloužení dodacích lhůt z důvodu vysoké technické náročnosti projektu. Technické komplikace vedoucí k prodloužení doby realizace. 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="00A52833" w:rsidRPr="007A4BFB" w14:paraId="1840D445" w14:textId="77777777" w:rsidTr="3AF2AF2D">
        <w:tc>
          <w:tcPr>
            <w:tcW w:w="2405" w:type="dxa"/>
          </w:tcPr>
          <w:p w14:paraId="3A093074" w14:textId="77777777" w:rsidR="00A52833" w:rsidRPr="007A4BFB" w:rsidRDefault="00A5283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0D9495BB" w14:textId="77777777" w:rsidR="00A52833" w:rsidRPr="007A4BFB" w:rsidRDefault="00A5283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Velcí průmysloví partneři a na ně navázány malé a střední podniky ve výrobním sektoru</w:t>
            </w:r>
          </w:p>
        </w:tc>
      </w:tr>
      <w:tr w:rsidR="00A52833" w:rsidRPr="007A4BFB" w14:paraId="5C2CD706" w14:textId="77777777" w:rsidTr="3AF2AF2D">
        <w:tc>
          <w:tcPr>
            <w:tcW w:w="2405" w:type="dxa"/>
          </w:tcPr>
          <w:p w14:paraId="0A1C0A6D" w14:textId="77777777" w:rsidR="00A52833" w:rsidRPr="007A4BFB" w:rsidRDefault="00A5283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70C8A347" w14:textId="4597D297" w:rsidR="00A52833" w:rsidRPr="007A4BFB" w:rsidRDefault="00A52833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Reforma předpokládá náklady 110 mil. Kč v období 2021-2023.</w:t>
            </w:r>
          </w:p>
        </w:tc>
      </w:tr>
      <w:tr w:rsidR="00A52833" w:rsidRPr="007A4BFB" w14:paraId="5011F39D" w14:textId="77777777" w:rsidTr="3AF2AF2D">
        <w:tc>
          <w:tcPr>
            <w:tcW w:w="2405" w:type="dxa"/>
          </w:tcPr>
          <w:p w14:paraId="3F41E150" w14:textId="77777777" w:rsidR="00A52833" w:rsidRPr="007A4BFB" w:rsidRDefault="00A5283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D6D95A0" w14:textId="7566EFB7" w:rsidR="00A52833" w:rsidRPr="007A4BFB" w:rsidRDefault="36646B11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Podpora bude poskytována podle rámce nebo de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minimis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</w:t>
            </w:r>
            <w:r w:rsidR="00A5283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Veškerá veřejná podpora bude projednána a popřípadě notifikována v závislosti na konkrétních projektech a změnách dočasného rámce a dalších pravidel v souvislosti s implementací RRF/NPO.</w:t>
            </w:r>
          </w:p>
        </w:tc>
      </w:tr>
      <w:tr w:rsidR="00A52833" w:rsidRPr="007A4BFB" w14:paraId="2E1F58C7" w14:textId="77777777" w:rsidTr="3AF2AF2D">
        <w:tc>
          <w:tcPr>
            <w:tcW w:w="2405" w:type="dxa"/>
          </w:tcPr>
          <w:p w14:paraId="5BBBBBBB" w14:textId="77777777" w:rsidR="00A52833" w:rsidRPr="007A4BFB" w:rsidRDefault="00A5283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4C1DCBC6" w14:textId="22A12382" w:rsidR="00A52833" w:rsidRPr="007A4BFB" w:rsidRDefault="00A67E3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Plánovaná doba realizace je 2021–2023</w:t>
            </w:r>
          </w:p>
        </w:tc>
      </w:tr>
    </w:tbl>
    <w:p w14:paraId="00000093" w14:textId="77777777" w:rsidR="007D49E4" w:rsidRPr="007A4BFB" w:rsidRDefault="007D49E4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00000094" w14:textId="77777777" w:rsidR="007D49E4" w:rsidRPr="007A4BFB" w:rsidRDefault="00603083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sz w:val="20"/>
          <w:szCs w:val="20"/>
        </w:rPr>
        <w:br w:type="page"/>
      </w:r>
    </w:p>
    <w:p w14:paraId="00000095" w14:textId="4D51BD57" w:rsidR="007D49E4" w:rsidRDefault="00603083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lastRenderedPageBreak/>
        <w:t>b) Popis investic</w:t>
      </w:r>
    </w:p>
    <w:p w14:paraId="3006EF4B" w14:textId="77777777" w:rsidR="007E27EE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</w:p>
    <w:p w14:paraId="53D98BC5" w14:textId="63C8F90A" w:rsidR="007E27EE" w:rsidRPr="00DF0BBB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1.1 Evropské centrum excelence v AI "pro bezpečnější společnost"</w:t>
      </w:r>
    </w:p>
    <w:tbl>
      <w:tblPr>
        <w:tblStyle w:val="a4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E27EE" w:rsidRPr="007A4BFB" w14:paraId="5BEC800C" w14:textId="77777777" w:rsidTr="3AF2AF2D">
        <w:tc>
          <w:tcPr>
            <w:tcW w:w="2405" w:type="dxa"/>
          </w:tcPr>
          <w:p w14:paraId="64281E77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663A0C08" w14:textId="04973312" w:rsidR="007E27EE" w:rsidRPr="007A4BFB" w:rsidRDefault="36646B11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 zájmu posílení excelence v</w:t>
            </w:r>
            <w:r w:rsidR="39B9E9E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 umělé inteligenci (AI)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podpory jejího výzkumu v Evropě se Evropská komise snaží posílit spolupráci mezi nejlepšími výzkumnými týmy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 účinněji řešit hlavní vědecké a technologické výzvy v oboru. Zároveň mobilizovat průmysl k integraci a najít 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jeho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synergie s výzkumnými týmy. Za tímto účelem E</w:t>
            </w:r>
            <w:r w:rsidR="39B9E9E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vropská </w:t>
            </w:r>
            <w:r w:rsidR="00A7078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komise – prostřednictvím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programu Horizont 2020 – již investovala 50 milionů EUR do vytvoření sítě propojených center excelence AI. Jako základ pro témata výzkumu AI a další sítě excelence využila také vstup z veřejné konzultace k Bílé knize o AI a cílené konzultace,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na jejich základě pak rozšíří sítě center excelence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</w:t>
            </w:r>
          </w:p>
        </w:tc>
      </w:tr>
      <w:tr w:rsidR="007E27EE" w:rsidRPr="007A4BFB" w14:paraId="37404F64" w14:textId="77777777" w:rsidTr="3AF2AF2D">
        <w:tc>
          <w:tcPr>
            <w:tcW w:w="2405" w:type="dxa"/>
          </w:tcPr>
          <w:p w14:paraId="1AF930D7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1EC2EE65" w14:textId="738CA78C" w:rsidR="007E27EE" w:rsidRPr="007A4BFB" w:rsidRDefault="2E15CD8C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Vznik 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Evropského c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entra excelence pro umělou inteligenci má za cíl zajistit dostatečnou výzkumnou kapacitu v oboru a umožnit tak dalším aktérům zavádění a testování nových aplikací umělé inteligence</w:t>
            </w:r>
            <w:r w:rsidR="39B9E9E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</w:t>
            </w:r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Jako hlavní národní projekt v oblasti digitální agendy bude podpořen rozvoj technologií umělé inteligence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přispívající k bezpečnější společnosti. A to v souladu s národním tématem vyhlášeným v oblasti umělé inteligence v roce 2019, v návaznosti na vládní Národní strategii umělé inteligence v ČR i strategické dokumenty EU (především Koordinovaný plán pro AI). Toto zaměření nabylo na mimořádném významu aktuálními společenskými potřebami danými </w:t>
            </w:r>
            <w:proofErr w:type="spellStart"/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koronavirovou</w:t>
            </w:r>
            <w:proofErr w:type="spellEnd"/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krizí v globálním rozsahu a má proto reálnou ambici vytvořit z Česka jedno z hlavních mezinárodních center AI. Zaměření na technologie podporující bezpečnost odpovídá tradicím českého průmyslu a využívá mimořádnou vědeckou kapacitu v oblasti AI pro zaměření se na segment trhu, kde lze dosáhnout mezinárodní komparativní výhody díky národní a regionální specializaci. Podporuje tak dlouhodobou snahu Evropské komise o zvýšení konkurenceschopnosti a technologické suverenity celé EU. Díky zvýšeným investicím v rámci Národního plánu obnovy bude možné tento cíl zrychleně realizovat v krizové době, přičemž centrální aktivitou bude vybudování Evropského centra excelence v AI s tímto zaměřením v souladu s doporučením </w:t>
            </w:r>
            <w:proofErr w:type="spellStart"/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High-Level</w:t>
            </w:r>
            <w:proofErr w:type="spellEnd"/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Expert Group on AI pro Evropskou komisi. Řada aktivit pak na tento cíl navazuje, především v oblasti </w:t>
            </w:r>
            <w:proofErr w:type="spellStart"/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socio</w:t>
            </w:r>
            <w:proofErr w:type="spellEnd"/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-ekonomických dopadů digitální transformace ekonomiky a boje se souvisejícími negativními trendy, jako jsou </w:t>
            </w:r>
            <w:proofErr w:type="spellStart"/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fake-news</w:t>
            </w:r>
            <w:proofErr w:type="spellEnd"/>
            <w:r w:rsidR="1C7F7FE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E27EE" w:rsidRPr="007A4BFB" w14:paraId="7F32C928" w14:textId="77777777" w:rsidTr="3AF2AF2D">
        <w:tc>
          <w:tcPr>
            <w:tcW w:w="2405" w:type="dxa"/>
          </w:tcPr>
          <w:p w14:paraId="393279BC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6E0F266B" w14:textId="0B3E9789" w:rsidR="008922B2" w:rsidRDefault="5680908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 zájmu dalšího posílení výzkumu AI Evropská komise zhodnotila investice v rámci programu Horizont 2020 a porovnala je se současnými výzkumnými trendy a potřebami identifikovat budoucí investiční příležitosti, zejména v programu Horizont Evropa. V rámci nového programu Horizont Evropa tak vypíše nové výzvy pro sítě center excelence především v oblasti bezpečnosti, což je národním prioritním tématem České republiky v umělé inteligenci. V rámci této investice tak bude podpořen národní projekt na vybudování Evropského centra excelence v AI, který uspěje v příslušné výzvě programu Horizont Evropa, nebo alespoň získá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Seal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Excelence.</w:t>
            </w:r>
          </w:p>
          <w:p w14:paraId="6074E2EF" w14:textId="378EEA8B" w:rsidR="007E27EE" w:rsidRPr="00A63654" w:rsidRDefault="5680908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Realizátorem projektu bude k</w:t>
            </w:r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onsorcium vysokých škol/vědecko-výzkumných organizací sdružených v rámci výzvy programu Horizont Evropa pro vybudování 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Evropského centra excelence v</w:t>
            </w:r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 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AI</w:t>
            </w:r>
            <w:r w:rsidR="36646B1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Podporu a koordinaci poskytne MPO jako koordinátor a gestor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Národní AI strategie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 Základem projektu by měl být úspěšný a již Evropskou Komisí schválený projekt CEDMO (viz investice 1.2).</w:t>
            </w:r>
            <w:r w:rsidR="007E27EE" w:rsidRPr="3AF2AF2D"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  <w:t xml:space="preserve"> </w:t>
            </w:r>
          </w:p>
        </w:tc>
      </w:tr>
      <w:tr w:rsidR="007E27EE" w:rsidRPr="007A4BFB" w14:paraId="51D66ED4" w14:textId="77777777" w:rsidTr="3AF2AF2D">
        <w:trPr>
          <w:trHeight w:val="70"/>
        </w:trPr>
        <w:tc>
          <w:tcPr>
            <w:tcW w:w="2405" w:type="dxa"/>
          </w:tcPr>
          <w:p w14:paraId="5A5BF7AB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153949F1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Akademická sféra (konsorcium univerzit), zapojení dalších předních domácích i mezinárodních pracovišť v oboru.</w:t>
            </w:r>
          </w:p>
        </w:tc>
      </w:tr>
      <w:tr w:rsidR="007E27EE" w:rsidRPr="007A4BFB" w14:paraId="620314DA" w14:textId="77777777" w:rsidTr="3AF2AF2D">
        <w:tc>
          <w:tcPr>
            <w:tcW w:w="2405" w:type="dxa"/>
          </w:tcPr>
          <w:p w14:paraId="2A669169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3BE52D2E" w14:textId="2C2DABDB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Nedostatečná 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koordinace, roztříštěnost vědecko-výzkumných institucí, vzájemná rivalita na národní úrovni, nedostatečná mobilizace vědecké excelence a propojení na </w:t>
            </w:r>
            <w:r w:rsidR="568090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excelentní partnery v rámci EU mohou zapříčinit neúspěch ve výzvě programu Horizont Evropa.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Klíčovým rizikem jsou nedostatečné personální kapacity u koordinující instituce (Ministerstvo průmyslu a obchodu ČR).</w:t>
            </w:r>
          </w:p>
        </w:tc>
      </w:tr>
      <w:tr w:rsidR="007E27EE" w:rsidRPr="007A4BFB" w14:paraId="391E920E" w14:textId="77777777" w:rsidTr="3AF2AF2D">
        <w:tc>
          <w:tcPr>
            <w:tcW w:w="2405" w:type="dxa"/>
          </w:tcPr>
          <w:p w14:paraId="2B43D28D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Cílové skupiny populace a ekonomické subjekty</w:t>
            </w:r>
          </w:p>
        </w:tc>
        <w:tc>
          <w:tcPr>
            <w:tcW w:w="7223" w:type="dxa"/>
          </w:tcPr>
          <w:p w14:paraId="63F13F84" w14:textId="7B480BC1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Veškeré zapojené subjekty ve státní správě i soukromé subjekty dotčené digitální transformací.</w:t>
            </w:r>
          </w:p>
        </w:tc>
      </w:tr>
      <w:tr w:rsidR="007E27EE" w:rsidRPr="007A4BFB" w14:paraId="0A98DF75" w14:textId="77777777" w:rsidTr="3AF2AF2D">
        <w:tc>
          <w:tcPr>
            <w:tcW w:w="2405" w:type="dxa"/>
          </w:tcPr>
          <w:p w14:paraId="64D5FA86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7FF8E5E8" w14:textId="00C8A866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Investice potřebná pro naplnění výše uvedeného cíle počítá s náklady </w:t>
            </w:r>
            <w:r w:rsidR="7CCEBE5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2</w:t>
            </w:r>
            <w:r w:rsidR="3AFE294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39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mil. Kč v období 2021-202</w:t>
            </w:r>
            <w:r w:rsidR="7CCEBE5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4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E27EE" w:rsidRPr="007A4BFB" w14:paraId="54C9354C" w14:textId="77777777" w:rsidTr="3AF2AF2D">
        <w:tc>
          <w:tcPr>
            <w:tcW w:w="2405" w:type="dxa"/>
          </w:tcPr>
          <w:p w14:paraId="25C14DD1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03D31B41" w14:textId="4AA16262" w:rsidR="007E27EE" w:rsidRPr="007A4BFB" w:rsidRDefault="04B2B8D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eřejná podpora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je v souladu s pravidly platnými pro program Horizont Evropa a jeho financování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 w:rsidR="51E8EC07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Spolufinancování z národních zdrojů v rámci programu Horizont Evropa nezakládá veřejnou podporu, protože spolufinancování nesměřuje na ekonomickou činnost organizací pro výzkum a šíření znalostí či výzkumných infrastruktur (ve smyslu příslušných definici uvedených v Rámci pro státní podporu výzkumu, vývoje a inovací), a budou dodrženy podmínky odst. 20 Rámce </w:t>
            </w:r>
            <w:proofErr w:type="spellStart"/>
            <w:r w:rsidR="51E8EC07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VaVaI</w:t>
            </w:r>
            <w:proofErr w:type="spellEnd"/>
            <w:r w:rsidR="51E8EC07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spolufinancování nebude směřovat ve prospěch podniků.</w:t>
            </w:r>
          </w:p>
        </w:tc>
      </w:tr>
      <w:tr w:rsidR="007E27EE" w:rsidRPr="007A4BFB" w14:paraId="443556DA" w14:textId="77777777" w:rsidTr="3AF2AF2D">
        <w:tc>
          <w:tcPr>
            <w:tcW w:w="2405" w:type="dxa"/>
          </w:tcPr>
          <w:p w14:paraId="460E96A6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38B649AD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Plánovaná doba realizace je 36 měsíců.</w:t>
            </w:r>
          </w:p>
        </w:tc>
      </w:tr>
    </w:tbl>
    <w:p w14:paraId="0EBB8D7F" w14:textId="77777777" w:rsidR="007E27EE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</w:p>
    <w:p w14:paraId="6574CBF7" w14:textId="77777777" w:rsidR="007E27EE" w:rsidRDefault="007E27EE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br w:type="page"/>
      </w:r>
    </w:p>
    <w:p w14:paraId="5DCCD58F" w14:textId="2CF0F2A0" w:rsidR="007E27EE" w:rsidRPr="007E27EE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lastRenderedPageBreak/>
        <w:t xml:space="preserve">1.2 Evropský projekt pro boj s COVID 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fake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news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(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European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Digital Media 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Observatory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</w:t>
      </w:r>
      <w:r w:rsidR="00A67E3E"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Hub – EDMO</w:t>
      </w: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)</w:t>
      </w:r>
    </w:p>
    <w:tbl>
      <w:tblPr>
        <w:tblStyle w:val="a6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E27EE" w:rsidRPr="007A4BFB" w14:paraId="0BAA2249" w14:textId="77777777" w:rsidTr="3AF2AF2D">
        <w:tc>
          <w:tcPr>
            <w:tcW w:w="2405" w:type="dxa"/>
          </w:tcPr>
          <w:p w14:paraId="1629C903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71880EBB" w14:textId="1E6C9003" w:rsidR="007E27EE" w:rsidRPr="007A4BFB" w:rsidRDefault="04B2B8D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 národní i středoevropské úrovni dnes neexistuje jednotná koordinační kapacita pro boj s dezinformacemi, především v oblastech spojených s digitalizací (zejména 5G) a nemocí COVID-19 v oblasti digitálních platforem. Která by zároveň poskytovala klíčové technické zázemí, především zapojení NLP a dalších AI technologií pro veřejné i soukromé iniciativy boje s dezinformacemi.</w:t>
            </w:r>
          </w:p>
        </w:tc>
      </w:tr>
      <w:tr w:rsidR="007E27EE" w:rsidRPr="007A4BFB" w14:paraId="10683E8D" w14:textId="77777777" w:rsidTr="3AF2AF2D">
        <w:tc>
          <w:tcPr>
            <w:tcW w:w="2405" w:type="dxa"/>
          </w:tcPr>
          <w:p w14:paraId="18F1F1DC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1CD7B766" w14:textId="107A5C8D" w:rsidR="0053195C" w:rsidRDefault="04B2B8D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European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Digital Media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Observatory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(EDMO) je jedním z prvků akčního plánu Evropské komise pro boj proti dezinformacím, zveřejněného dne 5. prosince 2018. Jeho cílem je posílit kapacity a spolupráci mezi členskými státy a EU ve čtyřech klíčových oblastech: zlepšování detekce, koordinace reakcí, práce s online platformami a průmyslem, zvyšování povědomí a posílení dovedností občanů k reakci na dezinformace online. EDMO spravuje konsorcium vedené Evropským univerzitním institutem ve Florencii a zahájilo svou činnost 1. června 2020.</w:t>
            </w:r>
          </w:p>
          <w:p w14:paraId="14D84643" w14:textId="2524B34A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Cílem investice je podpořit vznik regionálního hubu/výzkumného centra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projektu C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EDMO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</w:t>
            </w:r>
            <w:proofErr w:type="spellStart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Central</w:t>
            </w:r>
            <w:proofErr w:type="spellEnd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European</w:t>
            </w:r>
            <w:proofErr w:type="spellEnd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Digital Media </w:t>
            </w:r>
            <w:proofErr w:type="spellStart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Observatory</w:t>
            </w:r>
            <w:proofErr w:type="spellEnd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), který byl Evropskou komisí již schválen a je vedený Univerzitou Karlovou a tvořený v ČR dvěma </w:t>
            </w:r>
            <w:r w:rsidR="00A7078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partnery – ČVUT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Demagog.cz, a jedním </w:t>
            </w:r>
            <w:proofErr w:type="spellStart"/>
            <w:proofErr w:type="gramStart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subkontraktorem</w:t>
            </w:r>
            <w:proofErr w:type="spellEnd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- Univerzitou</w:t>
            </w:r>
            <w:proofErr w:type="gramEnd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Palackého v Olomouci. </w:t>
            </w:r>
            <w:proofErr w:type="gramStart"/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Ten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především</w:t>
            </w:r>
            <w:proofErr w:type="gram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poskytne nástroje AI a metodiku pro boj s 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fake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news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 digitálním prostoru, a to nestranným způsobem. Základem bude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 pro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konsorcium Evropského centra excelence v AI, pod jehož téma bezpečnější společnosti nepochybně tato aktivita spadá.</w:t>
            </w:r>
          </w:p>
          <w:p w14:paraId="1838A8BC" w14:textId="5CB7D316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Cílem bude dle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stanovených cílů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Komise zejména:</w:t>
            </w:r>
          </w:p>
          <w:p w14:paraId="50ADFB1A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a. Detekovat, analyzovat a zveřejňovat dezinformační kampaně na národní, nadnárodní a evropské úrovni a analyzovat dopad dezinformačních kampaní na společnost a demokracii;</w:t>
            </w:r>
          </w:p>
          <w:p w14:paraId="3D87073C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b. Podporovat aktivity v oblasti mediální gramotnosti;</w:t>
            </w:r>
          </w:p>
          <w:p w14:paraId="69C046C7" w14:textId="1AC340B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c. Ve spolupráci s národními úřady monitorovat pravidla online platforem a ekosystém digitálních médií.</w:t>
            </w:r>
          </w:p>
        </w:tc>
      </w:tr>
      <w:tr w:rsidR="007E27EE" w:rsidRPr="007A4BFB" w14:paraId="1655FBD2" w14:textId="77777777" w:rsidTr="3AF2AF2D">
        <w:tc>
          <w:tcPr>
            <w:tcW w:w="2405" w:type="dxa"/>
          </w:tcPr>
          <w:p w14:paraId="0A346B90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561A351E" w14:textId="4DFB26C1" w:rsidR="0053195C" w:rsidRDefault="04B2B8D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Komise zveřejnila druhou výzvu k předkládání návrhů na regionální EDMO huby v druhé polovině 2020. Druhá fáze projektu bude financována částkou 9 milionů EUR prostřednictvím nástroje pro propojení Evropy (CEF). Tyto huby se zaměří na nově vznikající zranitelná místa digitálních médií, která mají zvláštní význam v rámci území a jazykové oblasti, ve které budou působit. Cílem investice je znásobit financování EDMO hubu a urychlit jeho vznik a zvýšit jeho zásah,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díky tomu, že ve výzvě uspěl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projekt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CEDMO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zaměřený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 ČR a české jazykové prostředí.</w:t>
            </w:r>
          </w:p>
          <w:p w14:paraId="2C1F8E45" w14:textId="3EA07137" w:rsidR="00183C82" w:rsidRDefault="181C4A5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Financování bude poskytnuto na následující aktivity, které jsou zcela komplementární, ale v žádném případě se nepřekrývají, ale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nadstavbově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doplňují:</w:t>
            </w:r>
          </w:p>
          <w:p w14:paraId="66200A00" w14:textId="77777777" w:rsidR="000B24C0" w:rsidRDefault="2AAD6BD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1)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Spolufinancování projektu CEDMO v období 2021 až 2023. </w:t>
            </w:r>
            <w:r w:rsidR="000B24C0">
              <w:br/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Spoluúčast na projektu je 25 % vynaložených nákladů čtyř subjektů z ČR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správ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y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 koordinace CEDM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O, aby se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nesnižoval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y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prostředky na výzkum.</w:t>
            </w:r>
          </w:p>
          <w:p w14:paraId="63ED9404" w14:textId="70591334" w:rsidR="000B24C0" w:rsidRDefault="2AAD6BD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2) Udržitelnost projektu CEDMO po roce 2023, kdy skončí přidělené financování z výzvy CEF-TC-2020-2, tedy v letech 2024-2025.</w:t>
            </w:r>
            <w:r w:rsidR="000B24C0">
              <w:br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Je třeba zajistit bazální existenci infrastruktury v ČR i po roce 2023, kdy skončí financování z úspěšné výzvy, která kryje náklady pouze do 2023. </w:t>
            </w:r>
          </w:p>
          <w:p w14:paraId="60DAE238" w14:textId="7EB873F0" w:rsidR="000B24C0" w:rsidRPr="002664A4" w:rsidRDefault="2AAD6BD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3) Financování projektu CEDMO INDEX v období 2021-2025.</w:t>
            </w:r>
            <w:r w:rsidR="000B24C0">
              <w:br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Není součástí výzvy CEF-TC-2020-2. Vychází z ojedinělého longitudinálního výzkumu,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 xml:space="preserve">jenž staví na rozsáhlém panelu reprezentativního vzorku populace v ČR (minimálně n=2000), který umožní každý měsíc výstupy týkající se nejen digitální a mediální gramotnosti, odolnosti populace vůči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dezinformacím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misinformacím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ale též aplikace AI v žurnalistice a médiích. Půjde o indikátor digitální gramotnosti populace, jejích proměn a odolnosti populace proti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dezinformacím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Budou zahrnuty problémy detekované organizacemi zasíťovanými v CEDMO na národní úrovni. Výstupy CEDMO INDEX budou každoměsíční zprávy týkající digitální a mediální gramotnosti, odolnosti populace vůči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dezinformacím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misinformacím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 ČR.</w:t>
            </w:r>
          </w:p>
          <w:p w14:paraId="0482D30F" w14:textId="77777777" w:rsidR="0053195C" w:rsidRDefault="04B2B8D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Výzkumná centra EDMO budou navíc vzájemně propojena za účelem sdílení osvědčených postupů a relevantního obsahu. Usnadní tak koordinaci výzkumných činností na úrovni EU a vytvoří komunitu akademických výzkumníků, ověřovatelů faktů, mediálních odborníků a dalších relevantních zapojených subjektů. </w:t>
            </w:r>
          </w:p>
          <w:p w14:paraId="180F199B" w14:textId="4691DC4F" w:rsidR="007E27EE" w:rsidRPr="007A4BFB" w:rsidRDefault="04B2B8D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Koordinaci a podporu EDMO hubu poskytne 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Ministerstvo průmyslu a obchodu ČR. </w:t>
            </w:r>
          </w:p>
        </w:tc>
      </w:tr>
      <w:tr w:rsidR="007E27EE" w:rsidRPr="007A4BFB" w14:paraId="7CFA2EAA" w14:textId="77777777" w:rsidTr="3AF2AF2D">
        <w:trPr>
          <w:trHeight w:val="70"/>
        </w:trPr>
        <w:tc>
          <w:tcPr>
            <w:tcW w:w="2405" w:type="dxa"/>
          </w:tcPr>
          <w:p w14:paraId="7BAA56B7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50CDA9DC" w14:textId="370AA766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Relevantní veřejné a soukromé subjekty</w:t>
            </w:r>
            <w:r w:rsidR="2AAD6BD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zejména ty, které již v rámci výzvy CEF-TC-2020-2 poskytly </w:t>
            </w:r>
            <w:proofErr w:type="spellStart"/>
            <w:r w:rsidR="2AAD6BD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Letter</w:t>
            </w:r>
            <w:proofErr w:type="spellEnd"/>
            <w:r w:rsidR="2AAD6BD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2AAD6BD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</w:t>
            </w:r>
            <w:proofErr w:type="spellEnd"/>
            <w:r w:rsidR="2AAD6BD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Support - tzn. MPO, MŠMT, NÚKIB, MVČR atd.</w:t>
            </w:r>
          </w:p>
        </w:tc>
      </w:tr>
      <w:tr w:rsidR="007E27EE" w:rsidRPr="007A4BFB" w14:paraId="24658F41" w14:textId="77777777" w:rsidTr="3AF2AF2D">
        <w:tc>
          <w:tcPr>
            <w:tcW w:w="2405" w:type="dxa"/>
          </w:tcPr>
          <w:p w14:paraId="24DD367B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557FD6F0" w14:textId="4BCBA204" w:rsidR="007E27EE" w:rsidRPr="007A4BFB" w:rsidRDefault="2FF83B7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Klíčovým rizikem </w:t>
            </w:r>
            <w:r w:rsidR="181C4A5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je neposkytnutí finančních prostředků na spolufinancování 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nedostatečné personální kapacity u implementující instituce (Ministerstvo průmyslu a obchodu ČR).</w:t>
            </w:r>
          </w:p>
        </w:tc>
      </w:tr>
      <w:tr w:rsidR="007E27EE" w:rsidRPr="007A4BFB" w14:paraId="24906F59" w14:textId="77777777" w:rsidTr="3AF2AF2D">
        <w:tc>
          <w:tcPr>
            <w:tcW w:w="2405" w:type="dxa"/>
          </w:tcPr>
          <w:p w14:paraId="673570D3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0836420C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Široká populace.</w:t>
            </w:r>
          </w:p>
        </w:tc>
      </w:tr>
      <w:tr w:rsidR="007E27EE" w:rsidRPr="007A4BFB" w14:paraId="11D4F065" w14:textId="77777777" w:rsidTr="3AF2AF2D">
        <w:tc>
          <w:tcPr>
            <w:tcW w:w="2405" w:type="dxa"/>
          </w:tcPr>
          <w:p w14:paraId="540C6A85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7B5F4B33" w14:textId="5E1340ED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Investice potřebná pro naplnění výše uvedeného cíle počítá s náklady </w:t>
            </w:r>
            <w:r w:rsidR="732E77F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4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3 mil. Kč v období 2021-2023.</w:t>
            </w:r>
          </w:p>
        </w:tc>
      </w:tr>
      <w:tr w:rsidR="007E27EE" w:rsidRPr="007A4BFB" w14:paraId="25C1B886" w14:textId="77777777" w:rsidTr="3AF2AF2D">
        <w:tc>
          <w:tcPr>
            <w:tcW w:w="2405" w:type="dxa"/>
          </w:tcPr>
          <w:p w14:paraId="311718C0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E1D5138" w14:textId="6A97AEDA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Veřejná podpora </w:t>
            </w:r>
            <w:r w:rsidR="04B2B8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je v souladu s programem CEF a jeho kofinancováním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E27EE" w:rsidRPr="007A4BFB" w14:paraId="777F0F9C" w14:textId="77777777" w:rsidTr="3AF2AF2D">
        <w:tc>
          <w:tcPr>
            <w:tcW w:w="2405" w:type="dxa"/>
          </w:tcPr>
          <w:p w14:paraId="13D0A4BB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464C4850" w14:textId="019F5BCE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Plánovaná doba realizace je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2021–2025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</w:tbl>
    <w:p w14:paraId="34FD7ACA" w14:textId="4364C60C" w:rsidR="007E27EE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</w:p>
    <w:p w14:paraId="5BFF1727" w14:textId="0C0E8358" w:rsidR="007E27EE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1.3 Přenos zahraniční nejlepší praxe a know-how pro digitální transformaci, monitoring a výzkum 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socio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-ekonomických dopadů krize (vznik Samuel </w:t>
      </w:r>
      <w:proofErr w:type="spellStart"/>
      <w:r w:rsidR="00942708"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Neaman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Institute)</w:t>
      </w:r>
    </w:p>
    <w:tbl>
      <w:tblPr>
        <w:tblStyle w:val="a4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E27EE" w:rsidRPr="007A4BFB" w14:paraId="5F5EC4F9" w14:textId="77777777" w:rsidTr="3AF2AF2D">
        <w:tc>
          <w:tcPr>
            <w:tcW w:w="2405" w:type="dxa"/>
          </w:tcPr>
          <w:p w14:paraId="68B75423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C23B235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 provedení nutné digitální transformace a reformy ekonomiky po COVID-19 je třeba zajistit data pro evidence-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based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policy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přenos nejlepší praxe ze zahraničí. Dopady především automatizace ekonomiky a společnosti byly jednorázově kvantifikovány pouze ve Výzkumné zprávě potenciálu AI v ČR v roce 2018, v souladu s aktuálním trendem na úrovni EU, znásobeným dopady pandemie, bude podpořena kapacita na vyhodnocování, predikci trendů, a především předcházení negativním dopadům, především na SME.</w:t>
            </w:r>
          </w:p>
          <w:p w14:paraId="60787FE2" w14:textId="23D1774D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Dopad COVID-19 na globální ekonomiku ukázal potřebu vytvořit odolnější dodavatelské řetězce. Podle </w:t>
            </w:r>
            <w:r w:rsidR="04B2B8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Evropské k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omise má především automatizace má potenciál přesunout část výroby do Evropy a zvýšit její autonomii v kritických hodnotových řetězcích. Očekává se, že 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automatizace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bude stále více podporovat pracovníky různými způsoby při plnění jejich úkolů a zlepšovat pracovní podmínky. Demografické výzvy v Evropě dále zvýší potřebu automatizace, zejména v odvětví služeb. Pandemie rovněž zdůraznila význam digitálně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transformovaných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nových způsobů práce</w:t>
            </w:r>
            <w:r w:rsidR="4F5B9FB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také široké možnosti digitální transformace v sektoru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služeb.</w:t>
            </w:r>
          </w:p>
          <w:p w14:paraId="09CED8C5" w14:textId="07D75889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Na druhou stranu tento vývoj přináší řadu výzev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nejen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otázky bezpečnosti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ale podporuje i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potřebu monitorovat široké spektrum dopadů a budovat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odolnost (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resilienci</w:t>
            </w:r>
            <w:proofErr w:type="spellEnd"/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především v obor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ech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citliv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ých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na dopady na trh práce, nerovnost a celkový blahobyt obyvatel.</w:t>
            </w:r>
          </w:p>
        </w:tc>
      </w:tr>
      <w:tr w:rsidR="007E27EE" w:rsidRPr="007A4BFB" w14:paraId="27DE0DD6" w14:textId="77777777" w:rsidTr="3AF2AF2D">
        <w:tc>
          <w:tcPr>
            <w:tcW w:w="2405" w:type="dxa"/>
          </w:tcPr>
          <w:p w14:paraId="51B76244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0AB39EC1" w14:textId="2F0BC1CF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Reakce na naléhavou potřebu průběžného vyhodnocování dopadů moderních technologií v jednotlivých sektorech, a především aplikace zahraničního know-how v oblasti digitalizace ekonomiky a predikce dopadů. Automatizace je oblastí politiky s velkým potenciálem hospodářských a sociálních dopadů, včetně klíčových oblastí na podporu zelené a digitální transformace Evropy. Expertní skupina na vysoké úrovni pro dopad digitální transformace na trhy práce v EU v roce 2019 vydala závěrečnou zprávu s doporučeními, včetně politických opatření pro Evropskou unii, členské státy, podniky a další zúčastněné strany v krátkodobém, střednědobém a dlouhodobém horizontu. A to s cílem formovat digitální transformaci světa práce a učinit je plynulý, inkluzivní a zaměřený na člověka. Cílem této investice je proto vybudovat kapacitu, která zajistí dostatečné monitorování, vyhodnocování a návrh řešení dopadů skokové digitální transformace. Dalším cílem je zmírnit hospodářský a sociální dopad opatření přijatých proti pandemii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koronavirů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zajistit, aby byla česká ekonomika a společnosti lépe připravena na zelený a digitální přechod. Pro další zvýšení a koordinaci investic je tato investice nezbytná.</w:t>
            </w:r>
          </w:p>
        </w:tc>
      </w:tr>
      <w:tr w:rsidR="007E27EE" w:rsidRPr="007A4BFB" w14:paraId="5CC95109" w14:textId="77777777" w:rsidTr="3AF2AF2D">
        <w:tc>
          <w:tcPr>
            <w:tcW w:w="2405" w:type="dxa"/>
          </w:tcPr>
          <w:p w14:paraId="0CC58C4C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11A407BB" w14:textId="1A347AFA" w:rsidR="007E27EE" w:rsidRPr="00AF73AF" w:rsidRDefault="04B2B8D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Především vytvoření pobočky strategického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think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-tanku Samuel </w:t>
            </w:r>
            <w:proofErr w:type="spellStart"/>
            <w:r w:rsidR="0094270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Neaman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Institute v ČR, napojen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ého jako nezávislé organizace přímo na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Výbor pro digitální transformaci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 P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ropojí 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se tak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především podnikatelské svazy, zástupc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zaměstnavatelů, akademick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á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sfér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další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stakeholde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ři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společně s veřejnou správou k záštitě a koordinaci digitální transformace české ekonomiky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 přenosem nejlepší zahraniční praxe a monitoringem a vyhodnocováním </w:t>
            </w:r>
            <w:proofErr w:type="spellStart"/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socio</w:t>
            </w:r>
            <w:proofErr w:type="spellEnd"/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-ekonomických dopadů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Implementaci povede 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Výbor pro digitální transformaci, pobočka předního světového </w:t>
            </w:r>
            <w:proofErr w:type="spellStart"/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think</w:t>
            </w:r>
            <w:proofErr w:type="spellEnd"/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-tanku 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přenos strategického know-how (Samuel </w:t>
            </w:r>
            <w:proofErr w:type="spellStart"/>
            <w:r w:rsidR="0094270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Neaman</w:t>
            </w:r>
            <w:proofErr w:type="spellEnd"/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Institute univerzity </w:t>
            </w:r>
            <w:proofErr w:type="spellStart"/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Technion</w:t>
            </w:r>
            <w:proofErr w:type="spellEnd"/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 v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 návaznosti na 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Evropské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centr</w:t>
            </w:r>
            <w:r w:rsidR="5CEB5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um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excelence v AI.</w:t>
            </w:r>
            <w:r w:rsidR="007E27EE" w:rsidRPr="3AF2AF2D"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  <w:t xml:space="preserve"> </w:t>
            </w:r>
          </w:p>
        </w:tc>
      </w:tr>
      <w:tr w:rsidR="007E27EE" w:rsidRPr="007A4BFB" w14:paraId="1DD4D3C1" w14:textId="77777777" w:rsidTr="3AF2AF2D">
        <w:trPr>
          <w:trHeight w:val="70"/>
        </w:trPr>
        <w:tc>
          <w:tcPr>
            <w:tcW w:w="2405" w:type="dxa"/>
          </w:tcPr>
          <w:p w14:paraId="32369C07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740C7AED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Akademická sféra (konsorcium univerzit), zapojení dalších předních domácích i mezinárodních pracovišť v oboru.</w:t>
            </w:r>
          </w:p>
        </w:tc>
      </w:tr>
      <w:tr w:rsidR="007E27EE" w:rsidRPr="007A4BFB" w14:paraId="6E5C5619" w14:textId="77777777" w:rsidTr="3AF2AF2D">
        <w:tc>
          <w:tcPr>
            <w:tcW w:w="2405" w:type="dxa"/>
          </w:tcPr>
          <w:p w14:paraId="08CC5E1F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234377EC" w14:textId="6A5E874F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Nedostatečná analýza a monitoring vývoje představují zásadní riziko pro naplňování reforem a účelné vynaložení investic v rámci Národního plánu obnovy.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Ner</w:t>
            </w:r>
            <w:r w:rsidR="0094270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alizace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tohoto nástroje tak přímo ohrožuje celé naplnění komponenty a navazujících aktivit. 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="007E27EE" w:rsidRPr="007A4BFB" w14:paraId="2566032A" w14:textId="77777777" w:rsidTr="3AF2AF2D">
        <w:tc>
          <w:tcPr>
            <w:tcW w:w="2405" w:type="dxa"/>
          </w:tcPr>
          <w:p w14:paraId="675FF437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6728DAFD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Veškeré zapojené subjekty ve státní správě i soukromé subjekty dotčené digitální transformací.</w:t>
            </w:r>
          </w:p>
        </w:tc>
      </w:tr>
      <w:tr w:rsidR="007E27EE" w:rsidRPr="007A4BFB" w14:paraId="14C51CA6" w14:textId="77777777" w:rsidTr="3AF2AF2D">
        <w:tc>
          <w:tcPr>
            <w:tcW w:w="2405" w:type="dxa"/>
          </w:tcPr>
          <w:p w14:paraId="55942146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2ECD4B0E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Investice potřebná pro naplnění výše uvedeného cíle počítá s náklady 170 mil. Kč v období 2021-2023.</w:t>
            </w:r>
          </w:p>
        </w:tc>
      </w:tr>
      <w:tr w:rsidR="007E27EE" w:rsidRPr="007A4BFB" w14:paraId="66B663A4" w14:textId="77777777" w:rsidTr="3AF2AF2D">
        <w:tc>
          <w:tcPr>
            <w:tcW w:w="2405" w:type="dxa"/>
          </w:tcPr>
          <w:p w14:paraId="68E8C77F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53A4002" w14:textId="5AA1CCE3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Veškerá veřejná podpora bude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 rámci implementace vědecko-výzkumnými organizacemi, případně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projednána a popřípadě notifikována v závislosti na konkrétních projektech a změnách dočasného rámce a dalších pravidel v souvislosti s implementací RRF/NPO.</w:t>
            </w:r>
          </w:p>
        </w:tc>
      </w:tr>
      <w:tr w:rsidR="007E27EE" w:rsidRPr="007A4BFB" w14:paraId="2CC14CAD" w14:textId="77777777" w:rsidTr="3AF2AF2D">
        <w:tc>
          <w:tcPr>
            <w:tcW w:w="2405" w:type="dxa"/>
          </w:tcPr>
          <w:p w14:paraId="7E197F63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3338FFFD" w14:textId="446193FD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Plánovaná doba realizace je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40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měsíců.</w:t>
            </w:r>
          </w:p>
        </w:tc>
      </w:tr>
    </w:tbl>
    <w:p w14:paraId="0EA7526E" w14:textId="77777777" w:rsidR="007E27EE" w:rsidRPr="007A4BFB" w:rsidRDefault="007E27EE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4D89B93B" w14:textId="77777777" w:rsidR="007E27EE" w:rsidRDefault="007E27EE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lastRenderedPageBreak/>
        <w:br w:type="page"/>
      </w:r>
    </w:p>
    <w:p w14:paraId="00000097" w14:textId="5B46FDF6" w:rsidR="007D49E4" w:rsidRPr="007E27EE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lastRenderedPageBreak/>
        <w:t>1.4 Platforma pro vzdělávání managementu SME pro post-COVID-19 digitální transformaci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D49E4" w:rsidRPr="007A4BFB" w14:paraId="29D712BB" w14:textId="77777777" w:rsidTr="3AF2AF2D">
        <w:tc>
          <w:tcPr>
            <w:tcW w:w="2405" w:type="dxa"/>
          </w:tcPr>
          <w:p w14:paraId="00000098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00000099" w14:textId="29713034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 provedení nutné digitální transformace a reformy ekonomiky po COVID-19 je třeba nastavit řídící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 vzdělávací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systém.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Rozvoj nových technologií přináší nejen příležitosti, ale i výzvy. Je třeba průběžně vzdělávat nejen stávající zaměstnance, ale i management firem a podnikatele obecně tak, aby byli připraveni nové technologie naplno využívat, nepodceňovali kybernetickou bezpečnost a byli schopni nejen reagovat na měnící se situaci na trhu práce a požadavky, ale také, aby dokázali naplno využít příležitostí, které se díky novým technologiím objevují.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 zdokonalení a implementaci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digitálních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dovedností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je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doporučuje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Evropská komise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zapracovat do národních strategií v oblasti umělé inteligence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dalších dokumentů </w:t>
            </w:r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(včetně Národní strategie kybernetické bezpečnosti České republiky)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 využít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Nástroj pro obnovu a odolnost k podpoře tohoto cíle, například financovat kurzy celoživotního učení, zejména rekvalifikace lidí z netechnického prostředí. Dále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investice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zaměřené na zvyšování kvalifikace stávající pracovní síly, například prostřednictvím specializovaných školení na univerzitách.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Tyto aktivity je třeba zaměřit především jako komplementární k aktivitám směřujícím k reformě vzdělávání a trhu práce (Komponenta 3. Vzdělávání a trh práce) a zaměřit je jako vhodné doplnění pro firemní sféru, zejména pro SME.</w:t>
            </w:r>
          </w:p>
        </w:tc>
      </w:tr>
      <w:tr w:rsidR="007D49E4" w:rsidRPr="007A4BFB" w14:paraId="33C654AE" w14:textId="77777777" w:rsidTr="3AF2AF2D">
        <w:tc>
          <w:tcPr>
            <w:tcW w:w="2405" w:type="dxa"/>
          </w:tcPr>
          <w:p w14:paraId="0000009A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5009847D" w14:textId="729CF84D" w:rsidR="00A81D30" w:rsidRDefault="00603083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Cílem investice je vznik projektu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latformy pro digitální transformaci, jejímž smyslem je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 první fázi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vytvořit interaktivní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one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-stop-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shop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dostupný 24/7/365, k němuž budou firmy schopny přistupovat odkudkoliv, a který jim pomůže zodpovědět všechny dotazy týkající se možností využívání nových technologií (AI,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cloud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computing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robotizace a automatizace, kybernetická bezpečnost,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high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performance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computing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,...), digitalizace jejich procesů, implementace vybraných řešení, bude vzdělávat v oblasti nových technologií a řešení s nimi spojených a zároveň je bude schopen propojit s možnými dodavateli řešení.</w:t>
            </w:r>
          </w:p>
          <w:p w14:paraId="014F1A45" w14:textId="77777777" w:rsidR="00A81D30" w:rsidRDefault="00A81D30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0000009B" w14:textId="34272AB5" w:rsidR="007D49E4" w:rsidRPr="007A4BFB" w:rsidRDefault="52C63E98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 rozvoj oblasti digitálních dovedností vznikne v druhé fázi pod 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technologickou platformou také vzdělávací platforma, jejíž obsah bude určován reálnými potřebami trhu. Opět se předpokládá zapojení širokého spektra partnerů, využití e-</w:t>
            </w:r>
            <w:proofErr w:type="spellStart"/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learningových</w:t>
            </w:r>
            <w:proofErr w:type="spellEnd"/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řešení s přidanou hodnotou pro zaměstnavatele/zaměstnance. Systém vzdělávání založený na certifikaci/</w:t>
            </w:r>
            <w:proofErr w:type="spellStart"/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badge</w:t>
            </w:r>
            <w:proofErr w:type="spellEnd"/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 V rámci rozšířených aktivit zaměřených na vzdělávání budou probíhat také osvětové akce zaměřené na studenty ZŠ, SŠ a VŠ.</w:t>
            </w:r>
          </w:p>
          <w:p w14:paraId="0000009C" w14:textId="77777777" w:rsidR="007D49E4" w:rsidRPr="007A4BFB" w:rsidRDefault="007D49E4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0000009E" w14:textId="1A1629E3" w:rsidR="007D49E4" w:rsidRPr="007A4BFB" w:rsidRDefault="52C63E98" w:rsidP="3AF2AF2D">
            <w:pPr>
              <w:spacing w:after="24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Dalším přínosem bude výzkum potřeb, motivace a překážek, které firmy přivádějí k používání digitálních služeb a nových technologií či je od nich odrazují. Získaná data budou využita k vytváření uživatelsky přívětivějších řešení a rozvoji nových služeb, které budou podporovat využití digitálních technologií v SME.</w:t>
            </w:r>
            <w:r w:rsidR="696110B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Cílem investice je též úzce provázat projekt Technologické platformy pro digitální transformaci s implementací digitální agendy v Národní RIS3 strategii a s procesy, které jsou na tuto strategii vázány a mají za cíl podpořit difúzi nových a klíčových technologií v ČR. </w:t>
            </w:r>
          </w:p>
        </w:tc>
      </w:tr>
      <w:tr w:rsidR="007D49E4" w:rsidRPr="007A4BFB" w14:paraId="0EF98B85" w14:textId="77777777" w:rsidTr="3AF2AF2D">
        <w:tc>
          <w:tcPr>
            <w:tcW w:w="2405" w:type="dxa"/>
          </w:tcPr>
          <w:p w14:paraId="0000009F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000000A0" w14:textId="7D0E982C" w:rsidR="007D49E4" w:rsidRPr="007A4BFB" w:rsidRDefault="696110B8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Platforma pro digitální transformaci ČR vznikne přímo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pod koordinačním Výborem pro digitální transformaci.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Jednotlivé na sebe navazující kroky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jejího vzniku a implementace investice </w:t>
            </w:r>
            <w:r w:rsidR="52C63E98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povedou k vytvoření unikátního ekosystému, který nemá v českém ani evropském prostředí obdoby. Unikátní řešení zajistí propojení komponent (technologie, financování, regulace, vzdělávání, sdílení dobré praxe, …) nezbytných pro využití potenciálu digitální transformace.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to v 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provazbě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na další investice v rámci této a navazující komponenty. Implementaci provede 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Ministerstvo průmyslu a obchodu ČR ve spolupráci s partnery pod řízením Výboru pro digitální transformaci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D49E4" w:rsidRPr="007A4BFB" w14:paraId="11869123" w14:textId="77777777" w:rsidTr="3AF2AF2D">
        <w:trPr>
          <w:trHeight w:val="70"/>
        </w:trPr>
        <w:tc>
          <w:tcPr>
            <w:tcW w:w="2405" w:type="dxa"/>
          </w:tcPr>
          <w:p w14:paraId="000000A1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000000A2" w14:textId="7EEACA83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Zapojeny budou: zaměstnavatelské svazy a asociace, akademický sektor, inovační centra a dalších partneři.</w:t>
            </w:r>
          </w:p>
        </w:tc>
      </w:tr>
      <w:tr w:rsidR="007D49E4" w:rsidRPr="007A4BFB" w14:paraId="1E5EF9C2" w14:textId="77777777" w:rsidTr="3AF2AF2D">
        <w:tc>
          <w:tcPr>
            <w:tcW w:w="2405" w:type="dxa"/>
          </w:tcPr>
          <w:p w14:paraId="000000A3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000000A4" w14:textId="27FE1458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Nedostatek finančních prostředků a nevhodně zvolené způsoby financování. Technické komplikace vedoucí k prodloužení doby realizace. 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="007D49E4" w:rsidRPr="007A4BFB" w14:paraId="2A1A9D2E" w14:textId="77777777" w:rsidTr="3AF2AF2D">
        <w:tc>
          <w:tcPr>
            <w:tcW w:w="2405" w:type="dxa"/>
          </w:tcPr>
          <w:p w14:paraId="000000A5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000000A6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Malé a střední podniky, start-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zaměstnavatelé, zaměstnanci a studenti. </w:t>
            </w:r>
          </w:p>
        </w:tc>
      </w:tr>
      <w:tr w:rsidR="007D49E4" w:rsidRPr="007A4BFB" w14:paraId="0A309001" w14:textId="77777777" w:rsidTr="3AF2AF2D">
        <w:tc>
          <w:tcPr>
            <w:tcW w:w="2405" w:type="dxa"/>
          </w:tcPr>
          <w:p w14:paraId="000000A7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000000A8" w14:textId="32FFBD4B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Investice potřebná pro naplnění výše uvedeného cíle počítá s náklady 1</w:t>
            </w:r>
            <w:r w:rsidR="7CCEBE5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0 mil. Kč v období 2021-2023.</w:t>
            </w:r>
          </w:p>
        </w:tc>
      </w:tr>
      <w:tr w:rsidR="007D49E4" w:rsidRPr="007A4BFB" w14:paraId="5F642C8C" w14:textId="77777777" w:rsidTr="3AF2AF2D">
        <w:tc>
          <w:tcPr>
            <w:tcW w:w="2405" w:type="dxa"/>
          </w:tcPr>
          <w:p w14:paraId="000000A9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000000AA" w14:textId="26EB0E7A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Veškerá veřejná podpora </w:t>
            </w:r>
            <w:r w:rsidR="155254F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bude poskytnuta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 závislosti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na konkrétních projektech a </w:t>
            </w:r>
            <w:r w:rsidR="155254F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také na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změnách dočasného rámce a dalších pravidel v souvislosti s implementací RRF/NPO.</w:t>
            </w:r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Podpora na vzdělávání a odbornou přípravu poskytovaná jednotlivým osobám, které nevykonávají hospodářskou činnost, nezaměstnaným osobám nebo zaměstnaným jednotlivcům nepředstavuje veřejnou podporu. Podporu podnikům lze poskytnout kromě dočasného rámce, též v režimu podpory malého rozsahu (de </w:t>
            </w:r>
            <w:proofErr w:type="spellStart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minimis</w:t>
            </w:r>
            <w:proofErr w:type="spellEnd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) např. dle nařízení č. 1407/2013 nebo dle čl. 31 GBER. Pokud jde o vznik samotné platformy pro digitální transformaci a vzdělávací platformy, nelze vyloučit, že její financování bude představovat veřejnou podporu. Aby se zabránilo poskytnutí veřejné podpory partnerům, budou vybráni prostřednictvím otevřeného, transparentního, bezpodmínečného a nediskriminačního výběrového řízení. Bude zohledněn </w:t>
            </w:r>
            <w:proofErr w:type="spellStart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Guiding</w:t>
            </w:r>
            <w:proofErr w:type="spellEnd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Templates</w:t>
            </w:r>
            <w:proofErr w:type="spellEnd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v kontextu vlajkové iniciativy MODERNISE (</w:t>
            </w:r>
            <w:proofErr w:type="spellStart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Digitalisation</w:t>
            </w:r>
            <w:proofErr w:type="spellEnd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</w:t>
            </w:r>
            <w:proofErr w:type="spellEnd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public </w:t>
            </w:r>
            <w:proofErr w:type="spellStart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administration</w:t>
            </w:r>
            <w:proofErr w:type="spellEnd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including</w:t>
            </w:r>
            <w:proofErr w:type="spellEnd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healthcare</w:t>
            </w:r>
            <w:proofErr w:type="spellEnd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).</w:t>
            </w:r>
          </w:p>
        </w:tc>
      </w:tr>
      <w:tr w:rsidR="007D49E4" w:rsidRPr="007A4BFB" w14:paraId="0B0970AA" w14:textId="77777777" w:rsidTr="3AF2AF2D">
        <w:tc>
          <w:tcPr>
            <w:tcW w:w="2405" w:type="dxa"/>
          </w:tcPr>
          <w:p w14:paraId="000000AB" w14:textId="77777777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00000AC" w14:textId="229716E5" w:rsidR="007D49E4" w:rsidRPr="007A4BFB" w:rsidRDefault="00603083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Plánovaná doba realizace je 36 </w:t>
            </w:r>
            <w:proofErr w:type="gram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měsíců..</w:t>
            </w:r>
            <w:proofErr w:type="gramEnd"/>
          </w:p>
        </w:tc>
      </w:tr>
    </w:tbl>
    <w:p w14:paraId="05DD7CD3" w14:textId="77777777" w:rsidR="007E27EE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</w:p>
    <w:p w14:paraId="349E4912" w14:textId="77777777" w:rsidR="007E27EE" w:rsidRDefault="007E27EE" w:rsidP="3AF2AF2D">
      <w:pPr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br w:type="page"/>
      </w:r>
    </w:p>
    <w:p w14:paraId="000000AD" w14:textId="4B209CC4" w:rsidR="007D49E4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lastRenderedPageBreak/>
        <w:t>1.5 Evropský projekt pro DLT financování digitalizace SME pro překonání krize (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European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Blockchain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Services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FB1BDD"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Infrastructure</w:t>
      </w:r>
      <w:proofErr w:type="spellEnd"/>
      <w:r w:rsidR="00FB1BDD"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 xml:space="preserve"> – EBSI</w:t>
      </w: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)</w:t>
      </w:r>
    </w:p>
    <w:tbl>
      <w:tblPr>
        <w:tblStyle w:val="a5"/>
        <w:tblW w:w="9628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E27EE" w:rsidRPr="007A4BFB" w14:paraId="6E48BB85" w14:textId="77777777" w:rsidTr="3AF2AF2D">
        <w:tc>
          <w:tcPr>
            <w:tcW w:w="240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3E6EB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A6468" w14:textId="77777777" w:rsidR="002C662E" w:rsidRDefault="007E27E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Makroekonomický šok způsobený restrikcemi v důsledku epidemie COVID-19 podstatně prohlubuje problém nedostatečných provozních a investičních zdrojů pro SME. Již dnes se přitom často potýkají s nedostatkem 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provozního,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 především investičního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financování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nedostatečnými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vlastní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zdroj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potřebn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ými pro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modernizaci. Přes obrovskou potřebu kapitálu ze strany malých a středních podniků dosud </w:t>
            </w:r>
            <w:r w:rsidR="155254F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neexistuje celoevropská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platforma pro financování SME prostřednictvím emise cenných papírů.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Především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 důvodu vysokých administrativních nákladů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zaměření investorů na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emis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velkého finančního objemu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také nedostatečně rozvinutým povědomím podnikatelů o možnosti využívání nových způsobů financování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</w:t>
            </w:r>
          </w:p>
          <w:p w14:paraId="02F8D03E" w14:textId="77777777" w:rsidR="002C662E" w:rsidRDefault="002C662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6A5F020E" w14:textId="6CB1C79B" w:rsidR="007E27EE" w:rsidRDefault="007E27E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Východiskem pro řešení těchto problémů je vytvoření platformy pro vydávání cenných papíru pomoci </w:t>
            </w:r>
            <w:r w:rsidR="39F561F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decentralizovaných technologií (DLT) </w:t>
            </w:r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při splnění všech regulatorních požadavků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a to</w:t>
            </w:r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 rámci Evropského 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blockchainového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partnerství (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European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Partnership</w:t>
            </w:r>
            <w:proofErr w:type="spellEnd"/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– EBP</w:t>
            </w:r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 mezi Evropskou komisí a členskými státy.</w:t>
            </w:r>
          </w:p>
          <w:p w14:paraId="22086E97" w14:textId="77777777" w:rsidR="002C662E" w:rsidRDefault="002C662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59DEC02E" w14:textId="77777777" w:rsidR="002C662E" w:rsidRPr="007A4BFB" w:rsidRDefault="36C8BA59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Pilotní projekty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blockchainových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bondů implementovalo již několik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významých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mezinárodních organizaci a společnosti, např.</w:t>
            </w:r>
          </w:p>
          <w:p w14:paraId="517F9088" w14:textId="77777777" w:rsidR="002C662E" w:rsidRPr="007A4BFB" w:rsidRDefault="36C8BA59" w:rsidP="3AF2AF2D">
            <w:pPr>
              <w:numPr>
                <w:ilvl w:val="0"/>
                <w:numId w:val="7"/>
              </w:numPr>
              <w:spacing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Světová banka spolu s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Commonwealth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Bank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Australia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 roce 2018 vydala Bond-i,</w:t>
            </w:r>
          </w:p>
          <w:p w14:paraId="25D899DC" w14:textId="77777777" w:rsidR="002C662E" w:rsidRPr="007A4BFB" w:rsidRDefault="36C8BA59" w:rsidP="3AF2AF2D">
            <w:pPr>
              <w:numPr>
                <w:ilvl w:val="0"/>
                <w:numId w:val="17"/>
              </w:numPr>
              <w:spacing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ve stejném roce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Erste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Group a ASFINAG provedly první digitální vydaní dluhopisů na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</w:t>
            </w:r>
          </w:p>
          <w:p w14:paraId="01934858" w14:textId="38875546" w:rsidR="002C662E" w:rsidRPr="007A4BFB" w:rsidRDefault="36C8BA59" w:rsidP="3AF2AF2D">
            <w:pPr>
              <w:numPr>
                <w:ilvl w:val="0"/>
                <w:numId w:val="17"/>
              </w:numPr>
              <w:spacing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Société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Générale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 roce 2019 vydala bondy v hodnotě 100 mil eur,</w:t>
            </w:r>
          </w:p>
          <w:p w14:paraId="552DFE00" w14:textId="195607FD" w:rsidR="00A67E3E" w:rsidRDefault="36C8BA59" w:rsidP="3AF2AF2D">
            <w:pPr>
              <w:numPr>
                <w:ilvl w:val="0"/>
                <w:numId w:val="17"/>
              </w:numPr>
              <w:spacing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BBVA a španělská pojišťovna MAPFRE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před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minulý rok vydaly první “zelený dluhopis”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for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EUR 35 mil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.,</w:t>
            </w:r>
          </w:p>
          <w:p w14:paraId="57302D5A" w14:textId="51E8C472" w:rsidR="002C662E" w:rsidRPr="002C662E" w:rsidRDefault="00A67E3E" w:rsidP="3AF2AF2D">
            <w:pPr>
              <w:numPr>
                <w:ilvl w:val="0"/>
                <w:numId w:val="17"/>
              </w:numPr>
              <w:spacing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Evropská investiční banka vydala v dubnu 2021 bondy na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 hodnotě EUR 100 mil.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E27EE" w:rsidRPr="007A4BFB" w14:paraId="52B8CBB6" w14:textId="77777777" w:rsidTr="3AF2AF2D">
        <w:tc>
          <w:tcPr>
            <w:tcW w:w="240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ED7BF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A4793" w14:textId="35EC25CA" w:rsidR="007E27EE" w:rsidRPr="007A4BFB" w:rsidRDefault="13E5FDD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Hlavním cílem je pomoci SME zotavit se z následků krize způsobené pandemií onemocnění Covid-19 a především prostřednictvím investic udržet a obnovit jejich konkurenceschopnost. 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Využití DLT zjednoduší přístup SME k financování, a to snížením nákladů, zvýšením transparence a </w:t>
            </w:r>
            <w:proofErr w:type="spellStart"/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auditovatelnosti</w:t>
            </w:r>
            <w:proofErr w:type="spellEnd"/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 zvýšením dostupnosti kapitálu a dluhu otevřením přímého přístupu na celoevropský trh. Investice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tak napln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í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opatření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Strategi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na podporu malých a středních podniků v České republice pro období 2021-2027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specifického cíle Rozvoj investičního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crowdfundingu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technologie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 ČR a také cíle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Koncepce rozvoje kapitálového trhu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 České republice 2019–2023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A to v návaznosti na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Strategii pro udržitelnou a digitální Evropu zaměřenou na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SME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která uvádí potřebu zahájení iniciativy založené na DLT, jež umožní vydávání a obchodování s dluhopisy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SME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 celé Evropě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Proto bude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realizován projekt decentralizovaného trhu s cennými papíry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SME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postaveném na Evropské infrastruktuře pro </w:t>
            </w:r>
            <w:proofErr w:type="spellStart"/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blockchainové</w:t>
            </w:r>
            <w:proofErr w:type="spellEnd"/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služby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European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Services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Infrastructure</w:t>
            </w:r>
            <w:proofErr w:type="spellEnd"/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– EBSI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), který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ČR, jako předsednická země skupiny V4, iniciovala v roce 2020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vede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jeho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implementaci</w:t>
            </w:r>
            <w:r w:rsidR="39F561F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 rámci EBP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 </w:t>
            </w:r>
            <w:r w:rsidR="480835F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Projekt zároveň naplňuje koncepci Digitální Česko – Digitální ekonomika a společnost a Inovační strategii ČR 2019–2030.</w:t>
            </w:r>
          </w:p>
        </w:tc>
      </w:tr>
      <w:tr w:rsidR="007E27EE" w:rsidRPr="007A4BFB" w14:paraId="70ED07DC" w14:textId="77777777" w:rsidTr="3AF2AF2D">
        <w:tc>
          <w:tcPr>
            <w:tcW w:w="240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BE1F5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26768" w14:textId="2DD9AC7D" w:rsidR="00AE3565" w:rsidRDefault="39F561F1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Realizac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projektu dluhového financování 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SME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na 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DLT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otevře nové zdroje provozního a investičního financování českých 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SME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 zahájí vznik celoevropské platformy pro bondy na DLT.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Pilotní projekt bude součásti celoevropské platformy, kterou v květnu 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2020 </w:t>
            </w:r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schválila 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European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Partnership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která vznikne v rámci 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European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Services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Infrastructure</w:t>
            </w:r>
            <w:proofErr w:type="spellEnd"/>
            <w:r w:rsidR="13E5FDD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  <w:p w14:paraId="1D60AF9E" w14:textId="77777777" w:rsidR="00AE3565" w:rsidRPr="007A4BFB" w:rsidRDefault="00AE3565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213DF9A5" w14:textId="65C5B7A8" w:rsidR="00AE3565" w:rsidRPr="007A4BFB" w:rsidRDefault="13E5FDD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Díky svým vlastnostem nová platforma přináší 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zásadní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změn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y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:</w:t>
            </w:r>
          </w:p>
          <w:p w14:paraId="619F0016" w14:textId="77777777" w:rsidR="00AE3565" w:rsidRPr="007A4BFB" w:rsidRDefault="13E5FDDE" w:rsidP="3AF2AF2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díky elektronické podobě je vydávání a nakládání s cennými papíry rychlejší a bezpečnější;</w:t>
            </w:r>
          </w:p>
          <w:p w14:paraId="2BD34155" w14:textId="77777777" w:rsidR="00AE3565" w:rsidRPr="007A4BFB" w:rsidRDefault="13E5FDDE" w:rsidP="3AF2AF2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díky automatizací je platforma mnohem efektivnější a levnější, a proto dostupná velmi širokému, prakticky neomezenému okruhu investorů;</w:t>
            </w:r>
          </w:p>
          <w:p w14:paraId="381CD105" w14:textId="02E66F01" w:rsidR="007E27EE" w:rsidRDefault="13E5FDDE" w:rsidP="3AF2AF2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transparentnost systému a dostupnost dat v reálném čase mohou usnadnit dohled, sledování ekonomických trendů, a tím zajistit stabilitu finančního systému a udržet rovnováhu v celkové ekonomice.</w:t>
            </w:r>
          </w:p>
          <w:p w14:paraId="5D3D30E3" w14:textId="77777777" w:rsidR="002C662E" w:rsidRPr="002C662E" w:rsidRDefault="002C662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43C82981" w14:textId="4E0975B2" w:rsidR="004834F5" w:rsidRPr="002C662E" w:rsidRDefault="36C8BA59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Na Evropské úrovni je projekt veden Evropskou komisí a EBP, na národní úrovni bude koordinovat implementaci projektu nově zřízená </w:t>
            </w:r>
            <w:r w:rsidR="39F561F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Koordinační rada pro decentralizované tech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nologie pod Výborem pro digitální transformaci</w:t>
            </w:r>
            <w:r w:rsidR="39F561F1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Tím bude zajištěno napojení na systém digitální transformace ekonomiky, pro kterou bude investice znamenat značné rozšíření a doplnění možností financování </w:t>
            </w:r>
            <w:r w:rsidR="70D27B1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digitální transformace, a to především SME.</w:t>
            </w:r>
          </w:p>
        </w:tc>
      </w:tr>
      <w:tr w:rsidR="007E27EE" w:rsidRPr="007A4BFB" w14:paraId="6675BE14" w14:textId="77777777" w:rsidTr="3AF2AF2D">
        <w:trPr>
          <w:trHeight w:val="70"/>
        </w:trPr>
        <w:tc>
          <w:tcPr>
            <w:tcW w:w="240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3867F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B8E7B" w14:textId="23768C0F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Zapojeny budou podniky a profesní asociace působící </w:t>
            </w:r>
            <w:r w:rsidR="70D27B1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zejména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 finančním sektoru</w:t>
            </w:r>
            <w:r w:rsidR="70D27B1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E27EE" w:rsidRPr="007A4BFB" w14:paraId="08B19C6C" w14:textId="77777777" w:rsidTr="3AF2AF2D">
        <w:tc>
          <w:tcPr>
            <w:tcW w:w="240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9E459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A176D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Technické a regulatorní komplikace vedoucí k prodloužení doby realizace. </w:t>
            </w:r>
          </w:p>
        </w:tc>
      </w:tr>
      <w:tr w:rsidR="007E27EE" w:rsidRPr="007A4BFB" w14:paraId="15EE0A58" w14:textId="77777777" w:rsidTr="3AF2AF2D">
        <w:tc>
          <w:tcPr>
            <w:tcW w:w="240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A9D66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51472" w14:textId="6A10501C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Malé a střední podniky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E27EE" w:rsidRPr="007A4BFB" w14:paraId="1DAEF529" w14:textId="77777777" w:rsidTr="3AF2AF2D">
        <w:tc>
          <w:tcPr>
            <w:tcW w:w="240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F9CE5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 RRF za celé období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2EF9C" w14:textId="123F1B1D" w:rsidR="007E27EE" w:rsidRPr="007A4BFB" w:rsidRDefault="36C8BA59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Projekt je součástí programu Digitální Evropa a bude podpořen prostředky z ně, v rámci investice bude poskytnuto kofinancování 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potřebn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é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 naplnění výše uvedeného cíle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které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počítá s náklady 225 mil. Kč v období 2021-2023.</w:t>
            </w:r>
          </w:p>
        </w:tc>
      </w:tr>
      <w:tr w:rsidR="007E27EE" w:rsidRPr="007A4BFB" w14:paraId="443E0542" w14:textId="77777777" w:rsidTr="3AF2AF2D">
        <w:tc>
          <w:tcPr>
            <w:tcW w:w="240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FF64B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87145" w14:textId="2F3BF9B5" w:rsidR="007E27EE" w:rsidRPr="007A4BFB" w:rsidRDefault="36C8BA59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Veřejná podpora bude poskytnuta v souladu s rámcem </w:t>
            </w:r>
            <w:r w:rsidR="70D27B1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programu Digitální Evropa.</w:t>
            </w:r>
          </w:p>
        </w:tc>
      </w:tr>
      <w:tr w:rsidR="007E27EE" w:rsidRPr="007A4BFB" w14:paraId="749CD7D6" w14:textId="77777777" w:rsidTr="3AF2AF2D">
        <w:tc>
          <w:tcPr>
            <w:tcW w:w="240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CA0BA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8EBAB0" w14:textId="35A89BB2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Plánovaná doba implementace projektu je </w:t>
            </w:r>
            <w:r w:rsidR="36C8BA5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36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měsíců. </w:t>
            </w:r>
          </w:p>
        </w:tc>
      </w:tr>
    </w:tbl>
    <w:p w14:paraId="32550292" w14:textId="77777777" w:rsidR="007E27EE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</w:p>
    <w:p w14:paraId="5FD5191F" w14:textId="77777777" w:rsidR="007E27EE" w:rsidRDefault="007E27EE" w:rsidP="3AF2AF2D">
      <w:pPr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br w:type="page"/>
      </w:r>
    </w:p>
    <w:p w14:paraId="000000AE" w14:textId="02505B8E" w:rsidR="007D49E4" w:rsidRPr="007E27EE" w:rsidRDefault="007E27EE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lastRenderedPageBreak/>
        <w:t>1.6 Demonstrativní projekty rozvoje aplikací pro města a průmyslové oblasti (např. 5G)</w:t>
      </w:r>
    </w:p>
    <w:tbl>
      <w:tblPr>
        <w:tblStyle w:val="a3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D49E4" w:rsidRPr="007A4BFB" w14:paraId="3D0E84C6" w14:textId="77777777" w:rsidTr="3AF2AF2D">
        <w:tc>
          <w:tcPr>
            <w:tcW w:w="2405" w:type="dxa"/>
          </w:tcPr>
          <w:p w14:paraId="000000AF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000000B0" w14:textId="77777777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 současnosti chybí aplikace jednotlivých vertikál ekosystému sítí 5G.  Na základě slibných výsledků probíhající soutěže „5 měst pro 5G“ bude vytvořena platforma pro další vývoj a nasazení těchto aplikací.  Vytvořená platforma následně pozitivně ovlivní jednak zájem o využívání služeb poskytovaných na 5G sítích, a samozřejmě taky rozvoj těchto sítí.</w:t>
            </w:r>
          </w:p>
        </w:tc>
      </w:tr>
      <w:tr w:rsidR="007D49E4" w:rsidRPr="007A4BFB" w14:paraId="462F7FA7" w14:textId="77777777" w:rsidTr="3AF2AF2D">
        <w:tc>
          <w:tcPr>
            <w:tcW w:w="2405" w:type="dxa"/>
          </w:tcPr>
          <w:p w14:paraId="000000B1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00000B8" w14:textId="773345F5" w:rsidR="007D49E4" w:rsidRPr="009F668C" w:rsidRDefault="00603083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Cílem investice je kapitálová podpora a rozšíření 5G měst a navazujících iniciativ, která byla iniciována záměrem podpořit místní samosprávy při budování a rozvoji konceptu Smart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Cities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 využitím digitální infrastruktury. V rámci soutěže byly vyvinuty tzv. referenční aplikace, které budou mít významný dopad na zvýšení kvality života obyvatel a návštěvníků daného města, a rovněž na podnikatelskou atraktivitu tohoto města. Sekundárním efektem soutěže bude vytvoření metodického postupu pro zavádění aplikací pro vertikály Smart City (</w:t>
            </w:r>
            <w:proofErr w:type="gram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</w:t>
            </w:r>
            <w:proofErr w:type="gram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možnosti rozšíření na Smart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Village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nebo Smart Region) ekosystému sítí 5G, který může být následně využít i v dalších regionech ČR.</w:t>
            </w:r>
          </w:p>
        </w:tc>
      </w:tr>
      <w:tr w:rsidR="007D49E4" w:rsidRPr="007A4BFB" w14:paraId="0D13A04A" w14:textId="77777777" w:rsidTr="3AF2AF2D">
        <w:tc>
          <w:tcPr>
            <w:tcW w:w="2405" w:type="dxa"/>
          </w:tcPr>
          <w:p w14:paraId="000000B9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6E6B5145" w14:textId="77777777" w:rsidR="009F668C" w:rsidRPr="007A4BFB" w:rsidRDefault="7DDB3A7D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 následných milnících investice budou vyvinuté referenční aplikace nebo jejich dílčí částí (způsob sběru dat a jejich vyhodnocení, monitorovací a řídící procesy atd.) implementovány ve dvou směrech:</w:t>
            </w:r>
          </w:p>
          <w:p w14:paraId="2619C8EB" w14:textId="77777777" w:rsidR="009F668C" w:rsidRPr="007A4BFB" w:rsidRDefault="7DDB3A7D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1. Jako aplikace vertikály Průmysl 4.0 zaměřené na digitalizované výrobní linky nebo robotizované systémy vybudované na rutinním využívání umělé inteligence, přímé komunikaci koncových zařízení mezi sebou (D2D); komplexy budou připojeny k 5G sítí nebo ke kampusovým 5G sítím.</w:t>
            </w:r>
          </w:p>
          <w:p w14:paraId="463D94CB" w14:textId="77777777" w:rsidR="009F668C" w:rsidRPr="007A4BFB" w:rsidRDefault="7DDB3A7D" w:rsidP="3AF2AF2D">
            <w:pPr>
              <w:tabs>
                <w:tab w:val="left" w:pos="317"/>
              </w:tabs>
              <w:spacing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Přínos investice: </w:t>
            </w:r>
            <w:r w:rsidR="009F668C">
              <w:br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i.</w:t>
            </w:r>
            <w:r w:rsidR="009F668C"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snižování výrobních nákladů, </w:t>
            </w:r>
            <w:r w:rsidR="009F668C">
              <w:br/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 w:rsidR="009F668C"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zkracování doby výroby,</w:t>
            </w:r>
            <w:r w:rsidR="009F668C">
              <w:br/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 w:rsidR="009F668C"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eliminace ohrožení lidského faktoru ve výrobě (zejména v zdraví škodlivých provozovnách).</w:t>
            </w:r>
          </w:p>
          <w:p w14:paraId="43821D24" w14:textId="77777777" w:rsidR="009F668C" w:rsidRPr="007A4BFB" w:rsidRDefault="7DDB3A7D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2. Jako aplikace vertikály Smart City (Smart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Village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/Region) zaměřené na inteligentní dopravní systémy, pouliční osvětlení, odpadové/oběhové hospodářství, veřejná doprava, správa parkovacích míst, dále na koncepty snižování kriminality ve městě, zvyšování bezpečnosti občanů, monitorování ovzduší, snižování zdraví škodlivých emisí, hospodaření s vodou, monitorování přírodních jevů, predikce předpovědí srážek, monitorování lesů, vliv exhalací na lesy, monitorování půdy atd. </w:t>
            </w:r>
          </w:p>
          <w:p w14:paraId="49160FDC" w14:textId="71A4CF68" w:rsidR="009F668C" w:rsidRDefault="7DDB3A7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Přínos investice: </w:t>
            </w:r>
            <w:r w:rsidR="009F668C">
              <w:br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i.</w:t>
            </w:r>
            <w:r w:rsidR="009F668C"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usnadnění života obyvatelům měst, obcí a regionů, </w:t>
            </w:r>
            <w:r w:rsidR="009F668C">
              <w:br/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 w:rsidR="009F668C"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snížení nákladů souvisejících především s provozem městské infrastruktury,</w:t>
            </w:r>
            <w:r w:rsidR="009F668C">
              <w:br/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 w:rsidR="009F668C"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monitorování životního prostředí.</w:t>
            </w:r>
          </w:p>
          <w:p w14:paraId="000000BA" w14:textId="15739CC8" w:rsidR="007D49E4" w:rsidRPr="007A4BFB" w:rsidRDefault="7DDB3A7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Implementaci povede 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Ministerstvo pro místní rozvoj ČR společně s Ministerstvem průmyslu a obchodu ČR</w:t>
            </w:r>
          </w:p>
        </w:tc>
      </w:tr>
      <w:tr w:rsidR="007D49E4" w:rsidRPr="007A4BFB" w14:paraId="48950E3A" w14:textId="77777777" w:rsidTr="3AF2AF2D">
        <w:trPr>
          <w:trHeight w:val="70"/>
        </w:trPr>
        <w:tc>
          <w:tcPr>
            <w:tcW w:w="2405" w:type="dxa"/>
          </w:tcPr>
          <w:p w14:paraId="000000BB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000000BC" w14:textId="147D429D" w:rsidR="007D49E4" w:rsidRPr="007A4BFB" w:rsidRDefault="4F5B9FB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Kraje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7DDB3A7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místní samosprávy, podnikatelský sektor a akademická sféra včetně inovačních center</w:t>
            </w:r>
          </w:p>
        </w:tc>
      </w:tr>
      <w:tr w:rsidR="007D49E4" w:rsidRPr="007A4BFB" w14:paraId="3743A270" w14:textId="77777777" w:rsidTr="3AF2AF2D">
        <w:tc>
          <w:tcPr>
            <w:tcW w:w="2405" w:type="dxa"/>
          </w:tcPr>
          <w:p w14:paraId="000000BD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000000BE" w14:textId="595F47BD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Omezené finanční prostředky na vývoj a na následné zavádění aplikací, což se negativně může ovlivnit dobu realizace již vyvinutých aplikací. 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="007D49E4" w:rsidRPr="007A4BFB" w14:paraId="5EF442FD" w14:textId="77777777" w:rsidTr="3AF2AF2D">
        <w:tc>
          <w:tcPr>
            <w:tcW w:w="2405" w:type="dxa"/>
          </w:tcPr>
          <w:p w14:paraId="000000BF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000000C0" w14:textId="24714260" w:rsidR="007D49E4" w:rsidRPr="007A4BFB" w:rsidRDefault="00603083" w:rsidP="3AF2AF2D">
            <w:pPr>
              <w:tabs>
                <w:tab w:val="left" w:pos="340"/>
              </w:tabs>
              <w:spacing w:after="120" w:line="276" w:lineRule="auto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i.</w:t>
            </w:r>
            <w:r>
              <w:tab/>
            </w:r>
            <w:r w:rsidR="4F5B9FB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Kraje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místní samosprávy,</w:t>
            </w:r>
            <w:r>
              <w:br/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Soukromé firmy včetně MSP zavádějící robotizaci 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smart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factory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</w:t>
            </w:r>
            <w:r>
              <w:br/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Vývojové centra akademické sféry </w:t>
            </w:r>
          </w:p>
        </w:tc>
      </w:tr>
      <w:tr w:rsidR="007D49E4" w:rsidRPr="007A4BFB" w14:paraId="341A0584" w14:textId="77777777" w:rsidTr="3AF2AF2D">
        <w:tc>
          <w:tcPr>
            <w:tcW w:w="2405" w:type="dxa"/>
          </w:tcPr>
          <w:p w14:paraId="000000C1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Souhrnné náklady realizace financované z RRF za celé období</w:t>
            </w:r>
          </w:p>
        </w:tc>
        <w:tc>
          <w:tcPr>
            <w:tcW w:w="7223" w:type="dxa"/>
          </w:tcPr>
          <w:p w14:paraId="000000C2" w14:textId="741B0480" w:rsidR="007D49E4" w:rsidRPr="007A4BFB" w:rsidRDefault="00603083" w:rsidP="3AF2AF2D">
            <w:pPr>
              <w:tabs>
                <w:tab w:val="left" w:pos="1877"/>
              </w:tabs>
              <w:spacing w:after="120" w:line="276" w:lineRule="auto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Investice potřebná pro naplnění výše uvedeného cíle počítá s náklady </w:t>
            </w:r>
            <w:r w:rsidR="57A538A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1100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mil. Kč v období 2021-2023. K této částce je potřebné přičíst finanční participaci ve výši</w:t>
            </w:r>
            <w:r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15 % (územní samosprávy a nepodnikatelský sektor)</w:t>
            </w:r>
            <w:r>
              <w:br/>
            </w:r>
            <w:r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30 % (velké podniky)</w:t>
            </w:r>
            <w:r>
              <w:br/>
            </w:r>
            <w:r>
              <w:tab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40 % (malé a středné podniky)</w:t>
            </w:r>
          </w:p>
        </w:tc>
      </w:tr>
      <w:tr w:rsidR="007D49E4" w:rsidRPr="007A4BFB" w14:paraId="4BB6EBC0" w14:textId="77777777" w:rsidTr="3AF2AF2D">
        <w:tc>
          <w:tcPr>
            <w:tcW w:w="2405" w:type="dxa"/>
          </w:tcPr>
          <w:p w14:paraId="000000C3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000000C4" w14:textId="77777777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Bude nezbytná notifikace pro danou investici. Podle výsledků notifikace budou stanoveny pravidla státní podpory.</w:t>
            </w:r>
            <w:r w:rsidRPr="3AF2AF2D"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  <w:t xml:space="preserve"> </w:t>
            </w:r>
          </w:p>
        </w:tc>
      </w:tr>
      <w:tr w:rsidR="007D49E4" w:rsidRPr="007A4BFB" w14:paraId="77F52F5C" w14:textId="77777777" w:rsidTr="3AF2AF2D">
        <w:tc>
          <w:tcPr>
            <w:tcW w:w="2405" w:type="dxa"/>
          </w:tcPr>
          <w:p w14:paraId="000000C5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00000C6" w14:textId="4B888FAC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Plánovaná doba realizace je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2021–2025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</w:tbl>
    <w:p w14:paraId="000000C8" w14:textId="1F915B77" w:rsidR="007D49E4" w:rsidRPr="007A4BFB" w:rsidRDefault="007D49E4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  <w:shd w:val="clear" w:color="auto" w:fill="FFF2CC"/>
        </w:rPr>
      </w:pPr>
    </w:p>
    <w:p w14:paraId="000000DF" w14:textId="77777777" w:rsidR="007D49E4" w:rsidRPr="007A4BFB" w:rsidRDefault="007D49E4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000000E0" w14:textId="77777777" w:rsidR="007D49E4" w:rsidRPr="007A4BFB" w:rsidRDefault="007D49E4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3E91A559" w14:textId="77777777" w:rsidR="007A4BFB" w:rsidRPr="007A4BFB" w:rsidRDefault="007A4BFB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  <w:shd w:val="clear" w:color="auto" w:fill="FFF2CC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br w:type="page"/>
      </w:r>
    </w:p>
    <w:p w14:paraId="00000104" w14:textId="7ED9AAD9" w:rsidR="007D49E4" w:rsidRPr="00136DD0" w:rsidRDefault="00136DD0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lastRenderedPageBreak/>
        <w:t xml:space="preserve">2.1 Programy Czech 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Rise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-Up</w:t>
      </w:r>
    </w:p>
    <w:tbl>
      <w:tblPr>
        <w:tblStyle w:val="ab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E27EE" w:rsidRPr="007A4BFB" w14:paraId="75BE33A8" w14:textId="77777777" w:rsidTr="3AF2AF2D">
        <w:tc>
          <w:tcPr>
            <w:tcW w:w="2405" w:type="dxa"/>
          </w:tcPr>
          <w:p w14:paraId="68A8F033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3413C6CB" w14:textId="5C9A177F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Program Czech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Rise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Up – Chytrá opatření proti COVID-19 v rekordním čase podpořil projekty pro medicínské i nemedicínské využití technologií v boji s pandemií a poskytl tak i podporu projektu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hackathonu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Hack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the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Crisis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CZ organizovaném M</w:t>
            </w:r>
            <w:r w:rsidR="00FB1B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inisterstvem průmyslu a obchodu ČR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agenturou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CzechInvest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na který naváže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Crisis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Response Hub</w:t>
            </w:r>
            <w:r w:rsidR="00FB1B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 rámci projektu Technologické inkubace (reforma komponenty 5.2)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E27EE" w:rsidRPr="007A4BFB" w14:paraId="4B229D9A" w14:textId="77777777" w:rsidTr="3AF2AF2D">
        <w:tc>
          <w:tcPr>
            <w:tcW w:w="2405" w:type="dxa"/>
          </w:tcPr>
          <w:p w14:paraId="1CD0B30A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D71359E" w14:textId="50FBEB1D" w:rsidR="007E27EE" w:rsidRPr="007A4BFB" w:rsidRDefault="00FB1BD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Navazující program Czech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Rise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Up 2.0 se v nových výzvách zaměří na boj s ekonomickými a společenskými dopady pandemie a způsobenou hospodářskou krizí. Podpoří tak technologickou proměnu zasažených odvětví, konkrétní technologické nástroje i rozvoj strategických technologií pro boj s případnou druhou vlnou, či další krizí. Program se také v souladu se strategií Digitální Česko a inovační strategií ČR zaměří na podporu technologií k digitální transformaci a automatizaci české ekonomiky, které budou využity zejména prostřednictvím sítě EDIH v českých SME.</w:t>
            </w:r>
            <w:r w:rsidR="752A3DD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Podpořeny také budou projekty podporující rovné příležitosti žen a mužů.</w:t>
            </w:r>
          </w:p>
        </w:tc>
      </w:tr>
      <w:tr w:rsidR="007E27EE" w:rsidRPr="007A4BFB" w14:paraId="0BF3896C" w14:textId="77777777" w:rsidTr="3AF2AF2D">
        <w:tc>
          <w:tcPr>
            <w:tcW w:w="2405" w:type="dxa"/>
          </w:tcPr>
          <w:p w14:paraId="0A05076C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DFA71FA" w14:textId="54407C2E" w:rsidR="007E27EE" w:rsidRPr="007A4BFB" w:rsidRDefault="00FB1BDD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Program Czech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Rise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Up 2.0 bude obsahovat dvě části vyhlašované v samostatných výzvách s odlišnými podmínkami. První výzva Programu Czech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Rise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Up 2.0 – VÝZKUM proti COVID se již úzce zaměřuje na finální fáze dokončení výzkumu a vývoje, popř. certifikace a ochrany práv medicínských řešení v souladu se schválenou notifikaci EK ze dne 7. května 2020 C (2020) 3098. Druhá výzva Programu Czech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Rise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Up 2.0 – CHYTRÁ ŘEŠENÍ PROTI DOPADŮM COVID-19 bude zaměřena na pokračování podpory formou de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minimis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 projekty medicínských i nemedicínských technologických řešení pro zvládnutí ekonomických a společenských následků krize, přípravu na případnou druhou vlnu pandemie a podporu strategických technologií, a to ve střednědobém horizontu. Podpořeny budou zejména projekty s neziskovým a obecně prospěšným zaměřením z oblastí klíčových/strategických technologií a odvětví zdravotnictví, školství, vzdělávání, digitální transformace ekonomiky s důrazem na podporu malých a středních podniků a technologické proměny obchodních modelů tradičních odvětví (například média v návaznosti na cíle Evropské komise stanovené v Akčním plánu na podporu oživení a transformace mediálního a audiovizuálního odvětví).</w:t>
            </w:r>
          </w:p>
        </w:tc>
      </w:tr>
      <w:tr w:rsidR="007E27EE" w:rsidRPr="007A4BFB" w14:paraId="45C27835" w14:textId="77777777" w:rsidTr="3AF2AF2D">
        <w:trPr>
          <w:trHeight w:val="70"/>
        </w:trPr>
        <w:tc>
          <w:tcPr>
            <w:tcW w:w="2405" w:type="dxa"/>
          </w:tcPr>
          <w:p w14:paraId="18EBA29E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22CA4B96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 evaluaci žádostí bude využita odborná kapacita externích hodnotitelů.</w:t>
            </w:r>
          </w:p>
        </w:tc>
      </w:tr>
      <w:tr w:rsidR="007E27EE" w:rsidRPr="007A4BFB" w14:paraId="773A1ADB" w14:textId="77777777" w:rsidTr="3AF2AF2D">
        <w:tc>
          <w:tcPr>
            <w:tcW w:w="2405" w:type="dxa"/>
          </w:tcPr>
          <w:p w14:paraId="508A645E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8393F31" w14:textId="1243F643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Nedostatečný počet projektů. 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="007E27EE" w:rsidRPr="007A4BFB" w14:paraId="4F5CA381" w14:textId="77777777" w:rsidTr="3AF2AF2D">
        <w:tc>
          <w:tcPr>
            <w:tcW w:w="2405" w:type="dxa"/>
          </w:tcPr>
          <w:p w14:paraId="0B253E85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EDC2AA4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Malé a střední podniky a výzkumné organizace.</w:t>
            </w:r>
          </w:p>
        </w:tc>
      </w:tr>
      <w:tr w:rsidR="007E27EE" w:rsidRPr="007A4BFB" w14:paraId="58D37073" w14:textId="77777777" w:rsidTr="3AF2AF2D">
        <w:tc>
          <w:tcPr>
            <w:tcW w:w="2405" w:type="dxa"/>
          </w:tcPr>
          <w:p w14:paraId="2FF9621B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0D358246" w14:textId="3A0F591B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Investice potřebná pro naplnění výše uvedeného cíle počítá s náklady </w:t>
            </w:r>
            <w:r w:rsidR="0097007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6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00 mil. Kč v období 2021-202</w:t>
            </w:r>
            <w:r w:rsidR="00FB1B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4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E27EE" w:rsidRPr="007A4BFB" w14:paraId="2F1AC123" w14:textId="77777777" w:rsidTr="3AF2AF2D">
        <w:tc>
          <w:tcPr>
            <w:tcW w:w="2405" w:type="dxa"/>
          </w:tcPr>
          <w:p w14:paraId="428DCE62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53360F0" w14:textId="45B31F7D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Veškerá veřejná podpora bude </w:t>
            </w:r>
            <w:r w:rsidR="00FB1B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poskytnuta v rámci de </w:t>
            </w:r>
            <w:proofErr w:type="spellStart"/>
            <w:r w:rsidR="00FB1B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minimis</w:t>
            </w:r>
            <w:proofErr w:type="spellEnd"/>
            <w:r w:rsidR="00FB1B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nebo provedené notifikace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 závislosti </w:t>
            </w:r>
            <w:r w:rsidR="00FB1B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změnách dočasného rámce a dalších pravidel v souvislosti s implementací RRF/NPO.</w:t>
            </w:r>
            <w:r w:rsidR="00DB1F1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Nejedná se o plošnou podporu sektorů ekonomiky, ale vybrané projekty v uvedením rámci.</w:t>
            </w:r>
          </w:p>
        </w:tc>
      </w:tr>
      <w:tr w:rsidR="007E27EE" w:rsidRPr="007A4BFB" w14:paraId="1DDC8456" w14:textId="77777777" w:rsidTr="3AF2AF2D">
        <w:tc>
          <w:tcPr>
            <w:tcW w:w="2405" w:type="dxa"/>
          </w:tcPr>
          <w:p w14:paraId="30702F69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5AD7A4DC" w14:textId="04B40889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Plánovaná doba realizace je </w:t>
            </w:r>
            <w:r w:rsidR="00FB1BD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2021-2024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</w:tbl>
    <w:p w14:paraId="00000119" w14:textId="77777777" w:rsidR="007D49E4" w:rsidRPr="007A4BFB" w:rsidRDefault="007D49E4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</w:p>
    <w:p w14:paraId="6A99933E" w14:textId="77777777" w:rsidR="0004176C" w:rsidRDefault="0004176C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br w:type="page"/>
      </w:r>
    </w:p>
    <w:p w14:paraId="0000015A" w14:textId="18E02935" w:rsidR="0097007C" w:rsidRPr="007022F7" w:rsidRDefault="00136DD0" w:rsidP="3AF2AF2D">
      <w:pPr>
        <w:spacing w:after="120" w:line="240" w:lineRule="auto"/>
        <w:jc w:val="both"/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lastRenderedPageBreak/>
        <w:t>2.2 Podpora podnikavosti, podnikání a inovativních firem po COVID-19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97007C" w:rsidRPr="0097007C" w14:paraId="72522114" w14:textId="77777777" w:rsidTr="29DCD323">
        <w:tc>
          <w:tcPr>
            <w:tcW w:w="2405" w:type="dxa"/>
          </w:tcPr>
          <w:p w14:paraId="57337769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6C78D361" w14:textId="50384BF9" w:rsidR="0097007C" w:rsidRPr="0097007C" w:rsidRDefault="0097007C" w:rsidP="3AF2AF2D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Dle studií a průzkumů na středních a vysokých školách uvažuje o podnikání pouze něco mezi 2-8 %</w:t>
            </w:r>
            <w:r w:rsidRPr="3AF2AF2D">
              <w:rPr>
                <w:rStyle w:val="Znakapoznpodarou"/>
                <w:rFonts w:asciiTheme="majorHAnsi" w:eastAsiaTheme="majorEastAsia" w:hAnsiTheme="majorHAnsi" w:cstheme="majorBidi"/>
                <w:sz w:val="20"/>
                <w:szCs w:val="20"/>
              </w:rPr>
              <w:footnoteReference w:id="2"/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studentů. V ČR není dostatečně rozvinutá síť tzv.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-inkubačních aktivit, chybí dostatečná motivace k podnikání a podpora k zahájení podnikání. V současných programech podpory ani plánovaných není počítáno s podporou této fáze, tedy tzv. IDEA STAGE. Programy na podpory vědy, výzkumu a inovací se zaměřují na buď na vysoce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hi-tech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oblasti již existujících firem, případně míří na podporu výzkumných pracovišť nebo minimálně spoluřešitelští projektu s některou z výzkumných organizací. Podpora podnikavosti je dlouhodobě v ČR podceňována a v rámci krize COVID-19 dojde ještě k většímu prohloubení v této oblasti. Krize COVID-19 také negativně ovlivnila uvažování lidí pustit se do vlastního podnikání z důvodů možných rizik, zavření podnikání z důvodu vládních nařízení a dalších nejistot v post-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covid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době. </w:t>
            </w:r>
          </w:p>
        </w:tc>
      </w:tr>
      <w:tr w:rsidR="0097007C" w:rsidRPr="0097007C" w14:paraId="3936EFE5" w14:textId="77777777" w:rsidTr="29DCD323">
        <w:tc>
          <w:tcPr>
            <w:tcW w:w="2405" w:type="dxa"/>
          </w:tcPr>
          <w:p w14:paraId="53CBEB62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5111F6D3" w14:textId="60E82313" w:rsidR="0097007C" w:rsidRPr="0097007C" w:rsidRDefault="0097007C" w:rsidP="3AF2AF2D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Cílem investice je poskytnout všem zájemcům o podnikání a začínajícím podnikům kvalitní „on-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boarding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“ podporu bez ohledu na jejich umístění v zemi, maximalizovat jejich šance na úspěšné spuštění a expanzi na lokálním trhu. Měl by tedy vzniknout dostatečně flexibilní a univerzální nástroj, který umožní validovat podnikatelský záměr, a to s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koučovací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podporou odborníků – tzv. projekt regionálních koordinátorů s celorepublikovým pokrytím.</w:t>
            </w:r>
            <w:r w:rsidR="752A3DD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Zvláštní důraz bude kladen na podporu rovných příležitostí žen a mužů.</w:t>
            </w:r>
          </w:p>
        </w:tc>
      </w:tr>
      <w:tr w:rsidR="0097007C" w:rsidRPr="0097007C" w14:paraId="0C234FA8" w14:textId="77777777" w:rsidTr="29DCD323">
        <w:tc>
          <w:tcPr>
            <w:tcW w:w="2405" w:type="dxa"/>
          </w:tcPr>
          <w:p w14:paraId="0B9DE59B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6ECC27F2" w14:textId="517B07B5" w:rsidR="0004176C" w:rsidRDefault="0004176C" w:rsidP="3AF2AF2D">
            <w:pPr>
              <w:jc w:val="both"/>
              <w:rPr>
                <w:rFonts w:asciiTheme="majorHAnsi" w:eastAsiaTheme="majorEastAsia" w:hAnsiTheme="majorHAnsi" w:cstheme="majorBidi"/>
                <w:color w:val="000000"/>
                <w:spacing w:val="6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Navržené aktivity vycházejí ze zkušeností projektu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CzechEkosystem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realizovaný Agenturou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CzechInvest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 letech 2011-2015. </w:t>
            </w:r>
            <w:r w:rsidRPr="3AF2AF2D">
              <w:rPr>
                <w:rFonts w:asciiTheme="majorHAnsi" w:eastAsiaTheme="majorEastAsia" w:hAnsiTheme="majorHAnsi" w:cstheme="majorBidi"/>
                <w:color w:val="000000"/>
                <w:spacing w:val="6"/>
                <w:sz w:val="20"/>
                <w:szCs w:val="20"/>
              </w:rPr>
              <w:t>Projekt nabízel začínajícím MSP specializované poradenství v oblasti inovačního podnikání, rozvoje byznysu a předávání praktických zkušenosti se zahájením podnikání a jeho rozjezdem. Podpořeno bylo 111 firem.</w:t>
            </w:r>
          </w:p>
          <w:p w14:paraId="77E38B55" w14:textId="1AC77F07" w:rsidR="0004176C" w:rsidRDefault="0004176C" w:rsidP="3AF2AF2D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Cílová skupina u většiny projektů musí mít podmínku založení firmy (tedy IČ) a je zohledňováno finančního zdraví žadatelů. V rámci první validace v rozsahu cca 2-30 hodin bude posouzeno, zda má podnikatelský záměr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byznysový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potenciál a je vhodné např. doporučit služby mentora s odpovídající odborností/zkušeností a vstup do dalších programů podpory. Validace a konzultační služby by byly poskytovány prostřednictvím již existujících regionálních inovačních / obchodních center (spolufinancovaných regionálními vládami), kteří budou příjemci dotace a podporu budou dále poskytovat zájemcům o podnikání. Služby budou poskytovat jak interní zaměstnanci centra/inkubátoru, tak mentoři a experti z databáze daného centra, čím bude zabezpečena kvalita poskytovaných služeb), případně budou tyto osoby najímány až na základě specifických potřeb klientů identifikovaných při prvotní validaci. V praxi tedy dojde k založení firmy až po prvních konzultacích nebo bude podpory poskytováno nedávno založeným firmám, které ještě nemají zcela zhodnocený byznys potenciál svého podnikání. Dotace by tedy měla zahrnovat i režijní náklady inovačních center / inkubátorů, bez které není možné takovou podporu poskytovat dále zájemcům/firmám. Tato strategie odráží přesvědčení, že dobře fungující národní inovační ekosystém musí být založen na místním poskytování služeb (zásada subsidiarity, snadný přístup k začínajícím podnikatelům a vytvořená odpovídající kapacita po celé zemi).</w:t>
            </w:r>
          </w:p>
          <w:p w14:paraId="5BBA10CC" w14:textId="1EE8DE22" w:rsidR="0097007C" w:rsidRPr="0097007C" w:rsidRDefault="0004176C" w:rsidP="3AF2AF2D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Podpora bude poskytnuta prostřednictvím d</w:t>
            </w:r>
            <w:r w:rsidR="0097007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otační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ho</w:t>
            </w:r>
            <w:r w:rsidR="0097007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program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</w:t>
            </w:r>
            <w:r w:rsidR="0097007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 subjekty, které chtějí provádět osvětu s podmínkou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jednoho </w:t>
            </w:r>
            <w:r w:rsidR="0097007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projekt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</w:t>
            </w:r>
            <w:r w:rsidR="0097007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na kraj, tedy </w:t>
            </w:r>
            <w:r w:rsidR="4F5B9FB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</w:t>
            </w:r>
            <w:r w:rsidR="0097007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egionální inovační centra a inkubátory.</w:t>
            </w:r>
          </w:p>
        </w:tc>
      </w:tr>
      <w:tr w:rsidR="0097007C" w:rsidRPr="0097007C" w14:paraId="4A62A4AC" w14:textId="77777777" w:rsidTr="29DCD323">
        <w:trPr>
          <w:trHeight w:val="70"/>
        </w:trPr>
        <w:tc>
          <w:tcPr>
            <w:tcW w:w="2405" w:type="dxa"/>
          </w:tcPr>
          <w:p w14:paraId="41B3A8F0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2464CEEA" w14:textId="77777777" w:rsidR="0097007C" w:rsidRPr="0097007C" w:rsidRDefault="0097007C" w:rsidP="3AF2AF2D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 kraji se vytvoří buď konsorcium subjektů inovačního ekosystému (nebo jeden žadatel, kde nebude možné konsorcium vytvořit), které podá žádost o víceletý grant na provozní financování. V rámci své žádosti si určí, jakých hodnot v jednotlivých kategoriích výsledků chce dosahovat. Od toho se bude dále odvíjet počet FTE a výše financování, které bude možné získat. Kontrolu poskytovaných služeb a přenos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best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practise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mezi subjekty bude zajišťovat Agentura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CzechInvest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na základě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Benchmarku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inovačních infrastruktur, na kterém se nyní pracuje a bude spuštěn v roce 2021.</w:t>
            </w:r>
          </w:p>
        </w:tc>
      </w:tr>
      <w:tr w:rsidR="0097007C" w:rsidRPr="0097007C" w14:paraId="3789BB99" w14:textId="77777777" w:rsidTr="29DCD323">
        <w:tc>
          <w:tcPr>
            <w:tcW w:w="2405" w:type="dxa"/>
          </w:tcPr>
          <w:p w14:paraId="45544721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4D39A55D" w14:textId="5FECF8CE" w:rsidR="0097007C" w:rsidRPr="0097007C" w:rsidRDefault="0097007C" w:rsidP="3AF2AF2D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Nedostatečně rozvinutá síť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-inkubačních aktivit; Nedostatek kvalifikovaných konzultantů, odborníků, nedostatek vhodných partnerů v regionech, nedostatečná vůle ze strany místních samospráv a škol o spolupráci, Nepřehlednost systému podpory, kam se mohou začínající inovativní projekty obracet. Rozdrobenost know-how a jeho velmi různorodá kvalita napříč ČR.</w:t>
            </w:r>
          </w:p>
        </w:tc>
      </w:tr>
      <w:tr w:rsidR="0097007C" w:rsidRPr="0097007C" w14:paraId="026AF35D" w14:textId="77777777" w:rsidTr="29DCD323">
        <w:tc>
          <w:tcPr>
            <w:tcW w:w="2405" w:type="dxa"/>
          </w:tcPr>
          <w:p w14:paraId="39EEBC1E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16B39515" w14:textId="50FC85FC" w:rsidR="0097007C" w:rsidRPr="0097007C" w:rsidRDefault="0097007C" w:rsidP="3AF2AF2D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Začínající podnikatelé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tedy – lidé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 potenciálem (studenti, zaměstnanci, manažeři, akademici apod.), kteří se mohou zajímat o podnikání (bez rozdílu). Cílem investice je podpora + 1500 podnikatelských nápadů ročně v rámci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preinkubačních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aktivit (max. 30 hodin konzultací/firmu/tým) a podpora 150 firem v rámci inkubačních aktivit (max. 0,5 mil. Kč na firmu).</w:t>
            </w:r>
          </w:p>
        </w:tc>
      </w:tr>
      <w:tr w:rsidR="0097007C" w:rsidRPr="0097007C" w14:paraId="35161AE2" w14:textId="77777777" w:rsidTr="29DCD323">
        <w:tc>
          <w:tcPr>
            <w:tcW w:w="2405" w:type="dxa"/>
          </w:tcPr>
          <w:p w14:paraId="5C06FB1E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12DCA0EB" w14:textId="77777777" w:rsidR="0097007C" w:rsidRPr="0097007C" w:rsidRDefault="0097007C" w:rsidP="3AF2AF2D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Investice potřebná pro naplnění výše uvedeného cíle počítá s náklady 150 mil. Kč v období 2021-2023.</w:t>
            </w:r>
          </w:p>
        </w:tc>
      </w:tr>
      <w:tr w:rsidR="0097007C" w:rsidRPr="0097007C" w14:paraId="76BB053A" w14:textId="77777777" w:rsidTr="29DCD323">
        <w:tc>
          <w:tcPr>
            <w:tcW w:w="2405" w:type="dxa"/>
          </w:tcPr>
          <w:p w14:paraId="2C121CD4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DE8CADB" w14:textId="41DFDF81" w:rsidR="0097007C" w:rsidRPr="0097007C" w:rsidRDefault="0097007C" w:rsidP="3AF2AF2D">
            <w:pPr>
              <w:spacing w:after="120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Veškerá veřejná podpora bude</w:t>
            </w:r>
            <w:r w:rsidR="0004176C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poskytnuta v rámci de </w:t>
            </w:r>
            <w:proofErr w:type="spellStart"/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minimis</w:t>
            </w:r>
            <w:proofErr w:type="spellEnd"/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97007C" w:rsidRPr="0097007C" w14:paraId="35E2E870" w14:textId="77777777" w:rsidTr="29DCD323">
        <w:tc>
          <w:tcPr>
            <w:tcW w:w="2405" w:type="dxa"/>
          </w:tcPr>
          <w:p w14:paraId="7FC481D2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30B549F4" w14:textId="35233FCC" w:rsidR="0097007C" w:rsidRPr="0097007C" w:rsidRDefault="0097007C" w:rsidP="3AF2AF2D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Plánovaná doba realizace je 30 </w:t>
            </w:r>
            <w:proofErr w:type="gram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měsíců,.</w:t>
            </w:r>
            <w:proofErr w:type="gramEnd"/>
          </w:p>
        </w:tc>
      </w:tr>
    </w:tbl>
    <w:p w14:paraId="541EA724" w14:textId="77777777" w:rsidR="0097007C" w:rsidRDefault="0097007C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br w:type="page"/>
      </w:r>
    </w:p>
    <w:p w14:paraId="1B24D5B6" w14:textId="2E3348BA" w:rsidR="007D49E4" w:rsidRPr="0097007C" w:rsidRDefault="0097007C" w:rsidP="3AF2AF2D">
      <w:pPr>
        <w:spacing w:after="120" w:line="240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lastRenderedPageBreak/>
        <w:t xml:space="preserve">2.3 Fondy pro rozvoj 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pre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/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seedových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investic, strategických technologií a univerzitních spin-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offů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v rámci Evropských center excelence</w:t>
      </w:r>
    </w:p>
    <w:tbl>
      <w:tblPr>
        <w:tblStyle w:val="a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D49E4" w:rsidRPr="007A4BFB" w14:paraId="7EDF9540" w14:textId="77777777" w:rsidTr="3AF2AF2D">
        <w:tc>
          <w:tcPr>
            <w:tcW w:w="2405" w:type="dxa"/>
          </w:tcPr>
          <w:p w14:paraId="0000015B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0000015D" w14:textId="35AF69A4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 ČR </w:t>
            </w:r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dochází k tržnímu selhání v důležité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oblast</w:t>
            </w:r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/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seedových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investic, které jsou pro stávající investory příliš rizikové a poskytují nízkou návratnost. </w:t>
            </w:r>
            <w:r w:rsidR="5064F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Jeho p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odpora výrazně kultivuje ekosystém </w:t>
            </w:r>
            <w:r w:rsidR="5064F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rizikového kapitálu (venture </w:t>
            </w:r>
            <w:proofErr w:type="spellStart"/>
            <w:r w:rsidR="5064F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capital</w:t>
            </w:r>
            <w:proofErr w:type="spellEnd"/>
            <w:r w:rsidR="5064F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–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VC</w:t>
            </w:r>
            <w:r w:rsidR="5064F59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 této oblasti, umožní vznik nových subjektů a podpoří nové projekty pro budoucí prosperitu ČR. </w:t>
            </w:r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 vybraných klíčových technologiích a technologiích strategické důležitosti je třeba podpořit projekty v prvotní fázi se zvýhodněnými podmínkami s cílem rozvoje a udržení těchto technologických firem v ČR/EU a podpořit cíle soběstačnosti, bezpečnosti a odolnosti (</w:t>
            </w:r>
            <w:proofErr w:type="spellStart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resilience</w:t>
            </w:r>
            <w:proofErr w:type="spellEnd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). </w:t>
            </w:r>
            <w:r w:rsidR="26D5084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Evropská komise sama v revizi Koordinovaného plánu pro AI navrhuje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navíc </w:t>
            </w:r>
            <w:r w:rsidR="26D5084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posílit podporu a financování investičních fondů do AI a </w:t>
            </w:r>
            <w:proofErr w:type="spellStart"/>
            <w:r w:rsidR="26D5084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blockchainu</w:t>
            </w:r>
            <w:proofErr w:type="spellEnd"/>
            <w:r w:rsidR="26D5084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Druhá fáze od roku 2021-2027, se zaměří na rozvoj investiční platformy prostřednictvím programu </w:t>
            </w:r>
            <w:proofErr w:type="spellStart"/>
            <w:r w:rsidR="26D5084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InvestEU</w:t>
            </w:r>
            <w:proofErr w:type="spellEnd"/>
            <w:r w:rsidR="26D5084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většího partnerství s EK, členskými státy a případně dalšími veřejnými a soukromými finančními institucemi. Během druhé fáze se plánuje rozšířit investiční fond na plně rozvinutou investiční platformu s financováním 1–2 miliardy </w:t>
            </w:r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euro</w:t>
            </w:r>
            <w:r w:rsidR="26D5084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Členské státy se </w:t>
            </w:r>
            <w:r w:rsidR="1641961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pak </w:t>
            </w:r>
            <w:r w:rsidR="26D5084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mají zaměřit n</w:t>
            </w:r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</w:t>
            </w:r>
            <w:r w:rsidR="26D5084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podporu tohoto systému.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Stejně tak EU </w:t>
            </w:r>
            <w:proofErr w:type="spellStart"/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</w:t>
            </w:r>
            <w:proofErr w:type="spellEnd"/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Nation</w:t>
            </w:r>
            <w:r w:rsidR="2BD42C9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</w:t>
            </w:r>
            <w:proofErr w:type="spellEnd"/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Standard doporučuje zvýšit dostupnost kapitálu pro tyto typy projektů.</w:t>
            </w:r>
          </w:p>
        </w:tc>
      </w:tr>
      <w:tr w:rsidR="007D49E4" w:rsidRPr="007A4BFB" w14:paraId="2940EA92" w14:textId="77777777" w:rsidTr="3AF2AF2D">
        <w:tc>
          <w:tcPr>
            <w:tcW w:w="2405" w:type="dxa"/>
          </w:tcPr>
          <w:p w14:paraId="0000015E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11C497BB" w14:textId="628A9BDB" w:rsidR="007D4313" w:rsidRDefault="2250ACBE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 </w:t>
            </w:r>
            <w:r w:rsidR="1641961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digitální transformaci ekonomiky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je stěžejní rozvíjet trh s rizikovým kapitálem,</w:t>
            </w:r>
            <w:r w:rsidR="1641961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proto je v ČR potřeba zajistit dostatečnou nabídku rizikového kapitálu také pro projekty </w:t>
            </w:r>
            <w:r w:rsidR="1641961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 podniky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00A67E3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 rané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fázi rozvoje s vysokou mírou rizikovosti (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pre-seed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seed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 early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stage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) </w:t>
            </w:r>
            <w:r w:rsidR="45CABA8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 cílem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podpořit vznik nových inovativních a technologicky založených podniků, nápadů </w:t>
            </w:r>
            <w:proofErr w:type="gram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a  inovací</w:t>
            </w:r>
            <w:proofErr w:type="gram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což ve výsledku povede ke zvýšení konkurenceschopnosti české ekonomiky. Rizikový kapitál přináší zainvestovaným společnostem nejen okamžitý příliv financí, ale díky zkušenostem investorů také jejich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koučing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 </w:t>
            </w:r>
            <w:proofErr w:type="spellStart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mentoring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</w:t>
            </w:r>
          </w:p>
          <w:p w14:paraId="72AF430E" w14:textId="1D296C45" w:rsidR="0031097D" w:rsidRDefault="16419614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Cílem investice tak je napomáhat zlepšení fungování trhu rizikového kapitálu prostřednictvím přímého zapojení veřejného kapitálu do investování, ať už prostřednictvím přes fondy rizikového kapitálu. Doplní tak soukromý kapitál na trhu</w:t>
            </w:r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podpoří přímo inkubaci start-</w:t>
            </w:r>
            <w:proofErr w:type="spellStart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upů</w:t>
            </w:r>
            <w:proofErr w:type="spellEnd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 rámci regulatorních </w:t>
            </w:r>
            <w:proofErr w:type="spellStart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sandboxů</w:t>
            </w:r>
            <w:proofErr w:type="spellEnd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(2.5) a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iniciuje rozvoj trhu a soukromých investičních týmů v podfinancovaných oblastech (typicky rizikové fáze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seedového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financování). Investice tak naváže na </w:t>
            </w:r>
            <w:r w:rsidR="708B5A1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dosavadní projekty (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Středoevropský fond fondů</w:t>
            </w:r>
            <w:r w:rsidR="708B5A1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Fond fondů OP PIK</w:t>
            </w:r>
            <w:r w:rsidR="708B5A1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 správě EIF, IPO Fond na podporu úpisů MSP na alternativních obchodních platformách</w:t>
            </w:r>
            <w:r w:rsidR="708B5A1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).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708B5A1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ofinancování veřejných finančních prostředků by pak měl být </w:t>
            </w:r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zdrojem z Evropského investičního fondu (EIF) a v cílové fázi bude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soukromý kapitál zapojen v maximální možné míře, čímž bude umožněno fungování </w:t>
            </w:r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pozitivních efektů na trhu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 po snížení dostupných prostředků z evropských fondů. </w:t>
            </w:r>
            <w:r w:rsidR="7ABF558D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Podpořeny také budou zvláště investoři a projekty podporující rovné příležitosti žen a mužů.</w:t>
            </w:r>
          </w:p>
          <w:p w14:paraId="00000160" w14:textId="7364B44E" w:rsidR="007D49E4" w:rsidRPr="007A4BFB" w:rsidRDefault="708B5A1A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Investice tak naplní cíle Strategie podpory malých a středních podniků v ČR pro období 2021–2027, zejména specifického cíle Vytvoření příznivých podmínek pro financování začínajících a rostoucích podniků a také cíle Koncepce rozvoje kapitálového trhu v ČR, strategie Digitální Česko a Inovační strategie ČR.</w:t>
            </w:r>
          </w:p>
        </w:tc>
      </w:tr>
      <w:tr w:rsidR="007D49E4" w:rsidRPr="007A4BFB" w14:paraId="6AF3051F" w14:textId="77777777" w:rsidTr="3AF2AF2D">
        <w:tc>
          <w:tcPr>
            <w:tcW w:w="2405" w:type="dxa"/>
          </w:tcPr>
          <w:p w14:paraId="00000161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045CED41" w14:textId="592B4797" w:rsidR="005F4D09" w:rsidRDefault="708B5A1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Pilotním projektem k ověření systému státní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koinvestice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bude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koinvestiční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fond zaměřený na early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stage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projekty a společnosti typu technologických start-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a to na základě doporučení NERV. Cílem je umožnit dostatečnou investici kapitálu ve fázi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pre-seed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seed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kapitál</w:t>
            </w:r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do českých, technologických firem. Předpoklad je přitom realizace v období 2021-2022, čímž dojde k navýšení takto investovaných projektů, díky navýšení likvidity z veřejných zdrojů, a to o vyšší desítky procent. Hlavním cílem je tak navýšení kvalitních zainvestovaných projektů. Využije se přitom zahraniční zkušenost (např. Izrael) a reálně budou kofinancovány jen konkrétní projekty společně s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předschválenými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subjekty.</w:t>
            </w:r>
          </w:p>
          <w:p w14:paraId="117CAF4F" w14:textId="77777777" w:rsidR="007D4313" w:rsidRDefault="708B5A1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 xml:space="preserve">Komplementárně k podpoře rozvoje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seedového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financování bude podpořen i vznik kapitálových nástrojů na </w:t>
            </w:r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podporu strategických technologií (v </w:t>
            </w:r>
            <w:proofErr w:type="spellStart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InvestEU</w:t>
            </w:r>
            <w:proofErr w:type="spellEnd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definovány zejména AI, </w:t>
            </w:r>
            <w:proofErr w:type="spellStart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blockchain</w:t>
            </w:r>
            <w:proofErr w:type="spellEnd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</w:t>
            </w:r>
            <w:proofErr w:type="spellStart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fintech</w:t>
            </w:r>
            <w:proofErr w:type="spellEnd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5G a další), a to v návaznosti na vznik regulatorních </w:t>
            </w:r>
            <w:proofErr w:type="spellStart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sandboxů</w:t>
            </w:r>
            <w:proofErr w:type="spellEnd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 Vznik těchto fondů je klíčový pro překonání nově vznikajících bariér pro vstup na trh daných novou evropskou regulací (např. AI), které na druhou stranu s takovou podporou a úlevami start-</w:t>
            </w:r>
            <w:proofErr w:type="spellStart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upů</w:t>
            </w:r>
            <w:proofErr w:type="spellEnd"/>
            <w:r w:rsidR="4915E88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přímo počítají. Tento fond naváže na již realizovaný mechanismus fondu fondů programu Rizikový kapitál (OP PIK).</w:t>
            </w:r>
          </w:p>
          <w:p w14:paraId="3AA4F136" w14:textId="11309ABB" w:rsidR="00C50A44" w:rsidRDefault="4915E882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Třetím pilotním projektem bude fond pro </w:t>
            </w:r>
            <w:r w:rsidR="708B5A1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transfer výsledků výzkumu z výzkumných organizací, především vysokých škol, do podnikatelské praxe, který napomůže rozvoji nadějných technologických firem typu start-up a spin-</w:t>
            </w:r>
            <w:proofErr w:type="spellStart"/>
            <w:r w:rsidR="708B5A1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off</w:t>
            </w:r>
            <w:proofErr w:type="spellEnd"/>
            <w:r w:rsidR="00AEE74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nástroje k podpoře klíčových/strategických technologií v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 souladu s prioritami stanovenými Evropskou komisí</w:t>
            </w:r>
            <w:r w:rsidR="708B5A1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</w:t>
            </w:r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Projekt </w:t>
            </w:r>
            <w:r w:rsidR="00AEE74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pilotního </w:t>
            </w:r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fondu pro technologický transfer přímo naváže na projekt </w:t>
            </w:r>
            <w:proofErr w:type="spellStart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pre-seedového</w:t>
            </w:r>
            <w:proofErr w:type="spellEnd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koinvestičního</w:t>
            </w:r>
            <w:proofErr w:type="spellEnd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fondu a z něj získané poznatky pro praktické fungování. Vzhledem ke specifické oblasti akademického výzkumu a náročnému procesu transferu technologií však bude zvolena modifikovaná struktura oproti </w:t>
            </w:r>
            <w:proofErr w:type="spellStart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koinvestičnímu</w:t>
            </w:r>
            <w:proofErr w:type="spellEnd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pre-seedovému</w:t>
            </w:r>
            <w:proofErr w:type="spellEnd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fondu. Hlavním cílem tohoto pilotního projektu je také zvýšení počtu úspěšných zainvestovaných nových technologických firem (typu spin-</w:t>
            </w:r>
            <w:proofErr w:type="spellStart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off</w:t>
            </w:r>
            <w:proofErr w:type="spellEnd"/>
            <w:r w:rsidR="2250ACB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 v prvotní fázi existence. Namísto řešení problému nedostatku likvidity, je ale hlavním problémem, který bude tímto nástrojem překonán, administrativně, ekonomicky i časově náročný proces přenosu technologických inovací z akademického výzkumu do praxe.</w:t>
            </w:r>
          </w:p>
          <w:p w14:paraId="00000162" w14:textId="32BFB5EF" w:rsidR="007D49E4" w:rsidRPr="007A4BFB" w:rsidRDefault="007D49E4" w:rsidP="3AF2AF2D">
            <w:pPr>
              <w:spacing w:before="120"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</w:tc>
      </w:tr>
      <w:tr w:rsidR="007D49E4" w:rsidRPr="007A4BFB" w14:paraId="7EC70FD0" w14:textId="77777777" w:rsidTr="3AF2AF2D">
        <w:trPr>
          <w:trHeight w:val="70"/>
        </w:trPr>
        <w:tc>
          <w:tcPr>
            <w:tcW w:w="2405" w:type="dxa"/>
          </w:tcPr>
          <w:p w14:paraId="00000163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00000164" w14:textId="3699080F" w:rsidR="007D49E4" w:rsidRPr="007A4BFB" w:rsidRDefault="4915E882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Vzhledem k dosavadní spolupráci a zkušenostem provede realizaci pilotních projektů Ministerstvo průmyslu a obchodu ve spolupráci s EIF, který bude s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právcem 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(popř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 zároveň i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koinvestorem</w:t>
            </w:r>
            <w:proofErr w:type="spellEnd"/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) 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fond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ů</w:t>
            </w:r>
            <w:r w:rsidR="00603083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D49E4" w:rsidRPr="007A4BFB" w14:paraId="0432CC04" w14:textId="77777777" w:rsidTr="3AF2AF2D">
        <w:tc>
          <w:tcPr>
            <w:tcW w:w="2405" w:type="dxa"/>
          </w:tcPr>
          <w:p w14:paraId="00000165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00000166" w14:textId="445404F3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Klíčovou překážkou a rizikem je nevhodné nastavení celého systému, který nebude reagovat na potřeby trhu, je proto klíčové vhodně zvolit správce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koinvestičního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fondu.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Klíčovým rizikem jsou nedostatečné personální kapacity u implementující instituce (Ministerstvo průmyslu a obchodu ČR).</w:t>
            </w:r>
          </w:p>
        </w:tc>
      </w:tr>
      <w:tr w:rsidR="007D49E4" w:rsidRPr="007A4BFB" w14:paraId="3A099751" w14:textId="77777777" w:rsidTr="3AF2AF2D">
        <w:tc>
          <w:tcPr>
            <w:tcW w:w="2405" w:type="dxa"/>
          </w:tcPr>
          <w:p w14:paraId="00000167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00000168" w14:textId="77777777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Rychle rostoucí technologické podniky typu start-up a spin-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off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D49E4" w:rsidRPr="007A4BFB" w14:paraId="177E638C" w14:textId="77777777" w:rsidTr="3AF2AF2D">
        <w:tc>
          <w:tcPr>
            <w:tcW w:w="2405" w:type="dxa"/>
          </w:tcPr>
          <w:p w14:paraId="00000169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0000016A" w14:textId="7BB2E412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Investice potřebná pro naplnění výše uvedeného cíle počítá s náklady 1 </w:t>
            </w:r>
            <w:r w:rsidR="57A538A2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400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mil. Kč v období 2021-202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5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7D49E4" w:rsidRPr="007A4BFB" w14:paraId="1E1700C6" w14:textId="77777777" w:rsidTr="3AF2AF2D">
        <w:tc>
          <w:tcPr>
            <w:tcW w:w="2405" w:type="dxa"/>
          </w:tcPr>
          <w:p w14:paraId="0000016B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0000016C" w14:textId="5A0E289A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Veškerá veřejná podpora bude projednána a popřípadě notifikována v závislosti na konkrétních projektech a změnách dočasného rámce a dalších pravidel v souvislosti s implementací RRF/NPO.</w:t>
            </w:r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Přítomnost veřejné podpory je nutné vyhodnotit na úrovni všech zapojených subjektů (fond, správce fondu, soukromí investoři, způsobilé podniky). Veřejnou podporu je možné poskytnout dle nařízení č. 1407/2013, čl. 21 GBER, popř. notifikovat dle Sdělení </w:t>
            </w:r>
            <w:proofErr w:type="gramStart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Komise - Pokynů</w:t>
            </w:r>
            <w:proofErr w:type="gramEnd"/>
            <w:r w:rsidR="1EC9202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 státní podpoře investic v rámci rizikového financování.</w:t>
            </w:r>
          </w:p>
        </w:tc>
      </w:tr>
      <w:tr w:rsidR="007D49E4" w:rsidRPr="007A4BFB" w14:paraId="70E33669" w14:textId="77777777" w:rsidTr="3AF2AF2D">
        <w:tc>
          <w:tcPr>
            <w:tcW w:w="2405" w:type="dxa"/>
          </w:tcPr>
          <w:p w14:paraId="0000016D" w14:textId="77777777" w:rsidR="007D49E4" w:rsidRPr="007A4BFB" w:rsidRDefault="00603083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000016E" w14:textId="753C318B" w:rsidR="007D49E4" w:rsidRPr="007A4BFB" w:rsidRDefault="00603083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Plánovaná doba realizace je </w:t>
            </w:r>
            <w:r w:rsidR="2FF83B76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2021-2025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</w:tbl>
    <w:p w14:paraId="12CF5A42" w14:textId="77777777" w:rsidR="0097007C" w:rsidRDefault="0097007C" w:rsidP="3AF2AF2D">
      <w:pPr>
        <w:spacing w:after="120" w:line="240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</w:p>
    <w:p w14:paraId="4F1C005F" w14:textId="77777777" w:rsidR="0097007C" w:rsidRDefault="0097007C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br w:type="page"/>
      </w:r>
    </w:p>
    <w:p w14:paraId="23B7BFBD" w14:textId="79238189" w:rsidR="0097007C" w:rsidRPr="007022F7" w:rsidRDefault="0097007C" w:rsidP="3AF2AF2D">
      <w:pPr>
        <w:spacing w:after="120" w:line="240" w:lineRule="auto"/>
        <w:jc w:val="both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lastRenderedPageBreak/>
        <w:t>2.</w:t>
      </w:r>
      <w:r w:rsidR="0004176C"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4</w:t>
      </w:r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 xml:space="preserve"> Internacionalizace start-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  <w:t>ups</w:t>
      </w:r>
      <w:proofErr w:type="spellEnd"/>
    </w:p>
    <w:tbl>
      <w:tblPr>
        <w:tblStyle w:val="a3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97007C" w:rsidRPr="0097007C" w14:paraId="2EFD30A5" w14:textId="77777777" w:rsidTr="3AF2AF2D">
        <w:tc>
          <w:tcPr>
            <w:tcW w:w="2405" w:type="dxa"/>
          </w:tcPr>
          <w:p w14:paraId="5593FB06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2911E7FA" w14:textId="36351AC5" w:rsidR="0097007C" w:rsidRPr="0097007C" w:rsidRDefault="0097007C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Umět kvalifikovaně podpořit firmy ve fázi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/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scaleup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ČR je exportně zaměřená země, ve které bude technologický rozvoj tvořit základ ekonomického růstu v dalších obdobích. Ze zkušenosti ostatních vyspělých zemí je zřejmé, že sektor malých technologických firem je nutné podporovat a motivovat k dalšímu ekonomickému a technologickému růstu. Tento rozvoj je však poměrně nákladný a klade nároky i na odborné znalosti MSP. Většina současných světových technologických gigantů (např. Microsoft, Google, Dell,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Facebook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) vznikly jako začínající (start-up) firmy, které neměly možnost hned zpočátku svého působení na trhu dosáhnout na klasické finanční nástroje, neměly potřebné know-how, zkušenosti ani možnost představit své unikátní produkty širšímu trhu a potýkaly se s nedůvěrou potencionálních obchodních nebo technologických partnerů. V případě rozjezdu podnikání je řada firem navíc zatížena tím, že působí na malém českém trhu a nemají finanční možnosti k rychlému průniku na nové trhy. V současné době navíc není možné cestovat za podnikatelskými příležitostmi do zahraničí, a to jak na B2B meetingy, na akce, konference, veletrhy či je velmi komplikované prosazovat se na zahraničních trzích. Z tohoto důvodu klesá motivace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k zavádění nových inovací na zahraničních trzích, jelikož nemají dostatečné zázemí, kapacity či know-how jak oslovit potenciální zákazníky, partnery či investory. </w:t>
            </w:r>
          </w:p>
        </w:tc>
      </w:tr>
      <w:tr w:rsidR="0097007C" w:rsidRPr="0097007C" w14:paraId="4B346018" w14:textId="77777777" w:rsidTr="3AF2AF2D">
        <w:tc>
          <w:tcPr>
            <w:tcW w:w="2405" w:type="dxa"/>
          </w:tcPr>
          <w:p w14:paraId="42400714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2D5C5BA4" w14:textId="78D8C644" w:rsidR="0097007C" w:rsidRPr="0097007C" w:rsidRDefault="0097007C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Cílem je umět kvalifikovaně podpořit firmy, které vyrostou v ČR ve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scaleupy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(rychle rostoucí a mezinárodně expandující podniky) ve specifických oblastech, které potřebují řešit (jak uřídit prudký růst, jak expandovat do zahraničí, jak pro to zajistit kvalifikované odborníky), a to především v oblastech: a) Majitelské (majetkové a vlastnické struktury, příprava na investici); b) Manažerské (budování manažerské struktury pro řízení expanze); c) Podnikatelské (byznys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development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do zahraničí, hledání nových trhů a odbytišť, budování (mezinárodních) partnerství.); d) další specializované služby (finanční, právní, regulatorní služby...). Podpora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bude spočívat v podpoře vstupu na nové zahraniční trhy, přístupu k vyspělým technologiím a kapitálové infrastruktuře v zahraničí (tj. na míru ušitý akcelerační program) a povede též k navýšení soukromých investic do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zajištění jejich další akcelerace.</w:t>
            </w:r>
          </w:p>
        </w:tc>
      </w:tr>
      <w:tr w:rsidR="0097007C" w:rsidRPr="0097007C" w14:paraId="00E9D50C" w14:textId="77777777" w:rsidTr="3AF2AF2D">
        <w:tc>
          <w:tcPr>
            <w:tcW w:w="2405" w:type="dxa"/>
          </w:tcPr>
          <w:p w14:paraId="3357576E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42947B7D" w14:textId="2975E7EA" w:rsidR="0017667B" w:rsidRDefault="0017667B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Investice reaguje na kritický nedostatek (v některých oborech až absenci) kvalifikovaných odborníků v ČR pro tuto fázi růstu (odborníci na vyjednávání podmínek s velkými investory, budování mez. obchodních týmů, mezinárodní IPR...). Zároveň budou v rámci projektu vyvíjeny nové digitální nástroje, tzv. „Digital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promotion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4.0“, které umožní firmám pružněji reagovat na změny na trhu a přizpůsobit se digitálním trendům. Projekt umožňuje získání podnikatelských zkušeností a kontaktů, zvyšuje pravděpodobnost získání financování prostřednictvím rizikového kapitálu, umožňuje začínajícím podnikatelům seznámit se s trendy a podnikatelským ekosystémem vyspělého trhu ze kterého čerpaní znalosti. Ty jsou díky tomu schopny pružně reagovat na celosvětový vývoj v oblasti inovací, své podnikání dále akcelerovat, expandovat na zahraniční trhy a zvýšit tak míru internacionalizace mladých českých inovativních firem. Projekt bude zaměřen na systematické předávání zkušeností s řízením firmy, vč. souvisejících činností, zkušenými podnikateli a manažery a „pobyty“ manažerů v zahraničí v kombinaci s přímou podporou přispějí k rozvoji podnikatelského prostředí v segmentu MSP, k získání praktických manažerských zkušeností na cílových trzích a rozvoji podnikatelského ducha mezi začínajícími podnikateli. Primární zaměření projektu bude na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Key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Enabling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and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Hi-tech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technologies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 w:rsidR="1EE36DBA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Zvláštní důraz bude na projekty podporující rovné příležitosti žen a mužů a menšin.</w:t>
            </w:r>
          </w:p>
          <w:p w14:paraId="38C1E137" w14:textId="13C68978" w:rsidR="0097007C" w:rsidRPr="0097007C" w:rsidRDefault="0097007C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Implementačním orgánem bude agentura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CzechInvest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, a to dle schválené Inovační strategie ČR 2030 i programu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The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Country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for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the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Future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schváleném vládou, která bude zajišťovat jak přímou, tak nepřímou podporu podpořeným firmám. V projektu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 xml:space="preserve">bude docházet k přenosu podnikatelského know-how z vysoce rozvinutých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startupových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ekosystémů. Firmy budou moci validovat své produkty na zahraničním trhu, naučí se přizpůsobit obchodní modely na místní trhy a okolní podmínky a naučí se budovat globální byznys. </w:t>
            </w:r>
          </w:p>
        </w:tc>
      </w:tr>
      <w:tr w:rsidR="0097007C" w:rsidRPr="0097007C" w14:paraId="53FD6FD0" w14:textId="77777777" w:rsidTr="3AF2AF2D">
        <w:trPr>
          <w:trHeight w:val="70"/>
        </w:trPr>
        <w:tc>
          <w:tcPr>
            <w:tcW w:w="2405" w:type="dxa"/>
          </w:tcPr>
          <w:p w14:paraId="259EED93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5D0CED6E" w14:textId="77777777" w:rsidR="0097007C" w:rsidRPr="0097007C" w:rsidRDefault="0097007C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Spolupráce s MPO a vyspělými zahraničními podnikatelskými inkubátory a huby, a investory v zahraničí. </w:t>
            </w:r>
          </w:p>
        </w:tc>
      </w:tr>
      <w:tr w:rsidR="0097007C" w:rsidRPr="0097007C" w14:paraId="0B50FD4A" w14:textId="77777777" w:rsidTr="3AF2AF2D">
        <w:tc>
          <w:tcPr>
            <w:tcW w:w="2405" w:type="dxa"/>
          </w:tcPr>
          <w:p w14:paraId="3CB74E70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5F48EA4A" w14:textId="7D327FC5" w:rsidR="0097007C" w:rsidRPr="0097007C" w:rsidRDefault="0097007C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Nedostatečný počet vznikajících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; nedostatek soukromého co-financování firem; nevhodný výběr lokalit, </w:t>
            </w:r>
            <w:r w:rsidR="0017667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opakující se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krize typu </w:t>
            </w:r>
            <w:r w:rsidR="0017667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ovid19 (zavřené hranice a možnost fyzické přítomnosti v místě)</w:t>
            </w:r>
            <w:r w:rsidR="0017667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97007C" w:rsidRPr="0097007C" w14:paraId="57E5ADCD" w14:textId="77777777" w:rsidTr="3AF2AF2D">
        <w:tc>
          <w:tcPr>
            <w:tcW w:w="2405" w:type="dxa"/>
          </w:tcPr>
          <w:p w14:paraId="3D11C2A5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6D6507B5" w14:textId="77777777" w:rsidR="0097007C" w:rsidRPr="0097007C" w:rsidRDefault="0097007C" w:rsidP="3AF2AF2D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bookmarkStart w:id="0" w:name="_gjdgxs"/>
            <w:bookmarkEnd w:id="0"/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rychle rostoucí inovativní firmy (tzv.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scale-upy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). Za inovativní se považuje firma, která vyvíjí produkt/službu za využití nových či zlepšených procesů, postupů a kreativity, přinášející nová řešení a takové výsledné technické a další kvalitativní parametry, u nichž má podložený důvod se domnívat, že předčí momentální srovnatelné produkty/služby na trhu ČR a minimálně se vyrovná srovnatelným produktům/službám na mezinárodní úrovni. Inovaci může firma přinášet jak v samotném produktu/službě, tak v rámci inovativního business modelu.</w:t>
            </w:r>
          </w:p>
        </w:tc>
      </w:tr>
      <w:tr w:rsidR="0097007C" w:rsidRPr="0097007C" w14:paraId="4AC24BFB" w14:textId="77777777" w:rsidTr="3AF2AF2D">
        <w:tc>
          <w:tcPr>
            <w:tcW w:w="2405" w:type="dxa"/>
          </w:tcPr>
          <w:p w14:paraId="214985D7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1CA03FF5" w14:textId="77777777" w:rsidR="0097007C" w:rsidRPr="0097007C" w:rsidRDefault="0097007C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Investice potřebná pro naplněný výše uvedeného cíle je 215 mil. Kč</w:t>
            </w:r>
          </w:p>
        </w:tc>
      </w:tr>
      <w:tr w:rsidR="0097007C" w:rsidRPr="0097007C" w14:paraId="76EB92F2" w14:textId="77777777" w:rsidTr="3AF2AF2D">
        <w:tc>
          <w:tcPr>
            <w:tcW w:w="2405" w:type="dxa"/>
          </w:tcPr>
          <w:p w14:paraId="1AE9BBF2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13DBEBA3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Podpora bude poskytována v rámci režimu de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minimis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. </w:t>
            </w:r>
          </w:p>
        </w:tc>
      </w:tr>
      <w:tr w:rsidR="0097007C" w:rsidRPr="0097007C" w14:paraId="7F0B6609" w14:textId="77777777" w:rsidTr="3AF2AF2D">
        <w:tc>
          <w:tcPr>
            <w:tcW w:w="2405" w:type="dxa"/>
          </w:tcPr>
          <w:p w14:paraId="467139BC" w14:textId="77777777" w:rsidR="0097007C" w:rsidRPr="0097007C" w:rsidRDefault="0097007C" w:rsidP="3AF2AF2D">
            <w:pP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0C0C9D3" w14:textId="77777777" w:rsidR="0097007C" w:rsidRPr="001D60C1" w:rsidRDefault="0097007C" w:rsidP="3AF2A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Projekt bude implementován po dobu 36 měsíců, tj. od 1/2021 do 12/2023</w:t>
            </w:r>
          </w:p>
        </w:tc>
      </w:tr>
    </w:tbl>
    <w:p w14:paraId="515164F5" w14:textId="77777777" w:rsidR="0097007C" w:rsidRDefault="0097007C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br w:type="page"/>
      </w:r>
    </w:p>
    <w:p w14:paraId="00000184" w14:textId="301FDC41" w:rsidR="007D49E4" w:rsidRPr="0097007C" w:rsidRDefault="0097007C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lastRenderedPageBreak/>
        <w:t xml:space="preserve">2.5 Vznik </w:t>
      </w:r>
      <w:proofErr w:type="spell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sandboxů</w:t>
      </w:r>
      <w:proofErr w:type="spell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v regulovaných odvětvích v souladu s EU prioritami</w:t>
      </w:r>
    </w:p>
    <w:tbl>
      <w:tblPr>
        <w:tblStyle w:val="ac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EB5AC6" w:rsidRPr="007A4BFB" w14:paraId="1CB3A9EB" w14:textId="77777777" w:rsidTr="3AF2AF2D">
        <w:tc>
          <w:tcPr>
            <w:tcW w:w="2405" w:type="dxa"/>
          </w:tcPr>
          <w:p w14:paraId="00000185" w14:textId="77565496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6C77AD7" w14:textId="77777777" w:rsidR="00EB5AC6" w:rsidRPr="0097375C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Silná a velmi podrobná regulace některých odvětví bývá překážkou pro rychlé a bezpečné zavádění moderních technologií, služeb a postupů. Ve výsledku může docházet k nevyužití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technologickych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řešení a nedostupnosti již vyvinutých, ale administrativně ještě neschválených produktů a služeb, které by mohly podpořit konkurenceschopnost firem a kvalitnější služby pro spotřebitele. Dále také může docházet k omezení tržní konkurence a z toho plynoucích vyšších cen a horší nabídky pro uživatele. Zároveň rychlý technologický vývoj vede k velmi prudkému zaostávání právní úpravy, kdy zastaralá sektorová regulace omezuje rozvoj ekonomiky a firem, modernizaci jimi poskytovaných služeb a adekvátní ochranu spotřebitele. </w:t>
            </w:r>
          </w:p>
          <w:p w14:paraId="3DC06C69" w14:textId="77777777" w:rsidR="00EB5AC6" w:rsidRPr="0097375C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Pro rychlejší implementaci moderních technologií a rozvoj regulatorního prostředí příznivého pro inovace Evropská komise navrhuje členským státům zřízení regulatorních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. Výsledky v mnoha zemích a odvětvích již dle Komise ukázaly jejich pozitivní dopad na zavádění inovací do praxe a vznik nových podniků.</w:t>
            </w:r>
          </w:p>
          <w:p w14:paraId="00000188" w14:textId="1A0BDDFA" w:rsidR="00EB5AC6" w:rsidRPr="0097375C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Význam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zdůraznila Evropská komise např. ve své nedávné Strategii pro digitální finance. Mezi hlavní úkoly v této oblasti pak zmiňuje koordinaci činnost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napřič členskými státy. V oblasti testování umělé inteligence a robotických technologií navrhuje Komise přímo zřízení regulatorních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v revizi Koordinovaného plánu pro AI.  Jsou doslova nezbytnou součástí podpory nutné zejména pro SME a start-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upy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v případě přijetí nové plánované horizontální regulace AI. V této souvislosti mají podporovat implementaci právě tohoto horizontálního rámce pro důvěryhodnou AI, poskytnout nezbytnou infrastrukturu pro posouzení toho, které aplikace představují vysoké riziko a identifikaci příslušných opatření. Horizontální regulace AI má vytvořit rámec EU pro regulační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s cílem podpořit příslušné vnitrostátní orgány při zřizování těchto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na vnitrostátní a přeshraniční úrovni s cílem usnadnit vývoj a testování inovativních systémů AI pod okamžitým regulačním dohledem.</w:t>
            </w:r>
          </w:p>
        </w:tc>
      </w:tr>
      <w:tr w:rsidR="00EB5AC6" w:rsidRPr="007A4BFB" w14:paraId="4F34CC82" w14:textId="77777777" w:rsidTr="3AF2AF2D">
        <w:tc>
          <w:tcPr>
            <w:tcW w:w="2405" w:type="dxa"/>
          </w:tcPr>
          <w:p w14:paraId="00000189" w14:textId="0629A63E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277DBC79" w14:textId="77777777" w:rsidR="00EB5AC6" w:rsidRPr="00D06AB8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Cílem investice je tvorba a provoz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(tj. testovacích prostředí) ve finančním sektoru a AI, jakožto nástrojů podpory pro (i) rychlé uvádění na trh dostupnějších, bezpečnějších a modernějších služeb v těchto oblastech; (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) vznik a růst inovativních firem a (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iii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) digitalizaci ekonomiky:</w:t>
            </w:r>
          </w:p>
          <w:p w14:paraId="1DB43C56" w14:textId="77777777" w:rsidR="00EB5AC6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(i) Přístup k novým zdrojům financování, lepším a levnějším finančním službám a AI v souladu s návrhem koordinovaného plánu EK: tvorba a provoz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sandboxů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jsou jedním z nástrojů, jak zajistit, aby každý český spotřebitel a firma získaly snazší přístup ke kvalitnějším a moderním službám a produktům. Testování pod dohledem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regulatora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zkrátí čas jejich uvádění a ve výsledku přinese odolnější ekonomiku schopnou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průžněji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reagovat na krizi;</w:t>
            </w:r>
          </w:p>
          <w:p w14:paraId="267B6292" w14:textId="77777777" w:rsidR="00EB5AC6" w:rsidRPr="00D06AB8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) Vznik nových firem a míst práce s vysokou přidanou hodnotou: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podpoří růst a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škálování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na evropský trh nových inovativních českých společnosti. Testováním v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mohou v nejbližších letech projit stovky firem, které vytvoří nová pracovní místa s vysokou přidanou hodnotou;</w:t>
            </w:r>
          </w:p>
          <w:p w14:paraId="66813EC6" w14:textId="77777777" w:rsidR="00EB5AC6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(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iii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) digitalizace a automatizace ekonomiky: díky rychlejšímu testování moderních technologií dojde k jejich bezpečnému a snazší implementaci do obchodních modelů, služeb a produktů českých firem.</w:t>
            </w:r>
          </w:p>
          <w:p w14:paraId="0000018C" w14:textId="07521391" w:rsidR="00EB5AC6" w:rsidRPr="00D06AB8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Investice tak v regulovaných oblastech doplní systém Technologické inkubace (reforma komponenty 5.2).</w:t>
            </w:r>
          </w:p>
        </w:tc>
      </w:tr>
      <w:tr w:rsidR="00EB5AC6" w:rsidRPr="007A4BFB" w14:paraId="510518E9" w14:textId="77777777" w:rsidTr="3AF2AF2D">
        <w:tc>
          <w:tcPr>
            <w:tcW w:w="2405" w:type="dxa"/>
          </w:tcPr>
          <w:p w14:paraId="0000018D" w14:textId="1586402E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21868BC7" w14:textId="77777777" w:rsidR="00EB5AC6" w:rsidRPr="00D06AB8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budou připraveny ve spolupráci regulátorů, relevantních orgánů, pokud s jejich zřízením regulátoři budou souhlasit, jedná-li se o nezávislé orgány, a znalostních partnerů v dotyčném odvětví. Při tvorbě testovacích prostředí budou zohledněny doporučení a pokyny evropských institucí a orgánů. Implementace bude probíhat v následujících fázích:</w:t>
            </w:r>
          </w:p>
          <w:p w14:paraId="41AD1E8B" w14:textId="77777777" w:rsidR="00EB5AC6" w:rsidRPr="00D06AB8" w:rsidRDefault="00EB5AC6" w:rsidP="3AF2AF2D">
            <w:pPr>
              <w:pStyle w:val="Normlnweb"/>
              <w:numPr>
                <w:ilvl w:val="0"/>
                <w:numId w:val="22"/>
              </w:numPr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Analýza právního rámce fungování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 v daném odvětví,</w:t>
            </w:r>
          </w:p>
          <w:p w14:paraId="29799EC0" w14:textId="77777777" w:rsidR="00EB5AC6" w:rsidRPr="00D06AB8" w:rsidRDefault="00EB5AC6" w:rsidP="3AF2AF2D">
            <w:pPr>
              <w:pStyle w:val="Normlnweb"/>
              <w:numPr>
                <w:ilvl w:val="0"/>
                <w:numId w:val="22"/>
              </w:numPr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Tvorba dokumentace a provozní struktury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sandboxu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,</w:t>
            </w:r>
          </w:p>
          <w:p w14:paraId="39CC06F0" w14:textId="77777777" w:rsidR="00EB5AC6" w:rsidRPr="00D06AB8" w:rsidRDefault="00EB5AC6" w:rsidP="3AF2AF2D">
            <w:pPr>
              <w:pStyle w:val="Normlnweb"/>
              <w:numPr>
                <w:ilvl w:val="0"/>
                <w:numId w:val="22"/>
              </w:numPr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Zajištění technického a technologického prostředí pro testování,</w:t>
            </w:r>
          </w:p>
          <w:p w14:paraId="63330133" w14:textId="77777777" w:rsidR="00EB5AC6" w:rsidRPr="00D06AB8" w:rsidRDefault="00EB5AC6" w:rsidP="3AF2AF2D">
            <w:pPr>
              <w:pStyle w:val="Normlnweb"/>
              <w:numPr>
                <w:ilvl w:val="0"/>
                <w:numId w:val="22"/>
              </w:numPr>
              <w:spacing w:before="0" w:beforeAutospacing="0" w:after="120" w:afterAutospacing="0" w:line="276" w:lineRule="auto"/>
              <w:jc w:val="both"/>
              <w:textAlignment w:val="baseline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Otevření testovacích programů pro inovativní společnosti, první program bude spuštěn již v Q3 2021, dále budou programy otevírané pravidelné,</w:t>
            </w:r>
          </w:p>
          <w:p w14:paraId="0000018E" w14:textId="36C1DD77" w:rsidR="00EB5AC6" w:rsidRPr="00D06AB8" w:rsidRDefault="00EB5AC6" w:rsidP="3AF2AF2D">
            <w:pPr>
              <w:pStyle w:val="Normlnweb"/>
              <w:numPr>
                <w:ilvl w:val="0"/>
                <w:numId w:val="22"/>
              </w:numPr>
              <w:spacing w:before="0" w:beforeAutospacing="0" w:after="120" w:afterAutospacing="0" w:line="276" w:lineRule="auto"/>
              <w:jc w:val="both"/>
              <w:textAlignment w:val="baseline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>Průběžné doplňování technologických prvků a infrastruktury testovacích prostředí dle aktuální poptávky firem, spotřebitelských trendů a vývoje technologií.</w:t>
            </w:r>
          </w:p>
        </w:tc>
      </w:tr>
      <w:tr w:rsidR="00EB5AC6" w:rsidRPr="007A4BFB" w14:paraId="04BB2FB9" w14:textId="77777777" w:rsidTr="3AF2AF2D">
        <w:trPr>
          <w:trHeight w:val="70"/>
        </w:trPr>
        <w:tc>
          <w:tcPr>
            <w:tcW w:w="2405" w:type="dxa"/>
          </w:tcPr>
          <w:p w14:paraId="0000018F" w14:textId="03D3C49F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00000190" w14:textId="7832C6C5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Pro zajištění plnohodnotného fungování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sandboxu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budou do jeho aktivit přizvány dohledové orgány v dotyčných sektorech a pro zabezpečení poptávky na straně inovativních společností se na jeho provozu budou podílet především profesní asociace sdružující inovativní společnosti v dotyčných sektorech.</w:t>
            </w:r>
          </w:p>
        </w:tc>
      </w:tr>
      <w:tr w:rsidR="00EB5AC6" w:rsidRPr="007A4BFB" w14:paraId="10B0C5FC" w14:textId="77777777" w:rsidTr="3AF2AF2D">
        <w:tc>
          <w:tcPr>
            <w:tcW w:w="2405" w:type="dxa"/>
          </w:tcPr>
          <w:p w14:paraId="00000191" w14:textId="5D1BB8B2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00000192" w14:textId="3076E6FA" w:rsidR="00EB5AC6" w:rsidRPr="00D06AB8" w:rsidRDefault="00EB5AC6" w:rsidP="3AF2AF2D">
            <w:pPr>
              <w:pStyle w:val="Normlnweb"/>
              <w:spacing w:before="0" w:beforeAutospacing="0" w:after="120" w:afterAutospacing="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  <w:lang w:eastAsia="cs-CZ"/>
              </w:rPr>
              <w:t xml:space="preserve">Překážkou v rychlé implementaci investice může být nutnost vyřešit právní záležitosti. Zapojení regulatorních orgánů pomůže omezit možný negativní dopad. Rizikem je potenciálně menší počáteční zájem firem o vstup do testovacího prostředí. Zapojení profesních asociací inovativních firem pomůže snížit toto riziko. </w:t>
            </w:r>
          </w:p>
        </w:tc>
      </w:tr>
      <w:tr w:rsidR="00EB5AC6" w:rsidRPr="007A4BFB" w14:paraId="7D730C55" w14:textId="77777777" w:rsidTr="3AF2AF2D">
        <w:tc>
          <w:tcPr>
            <w:tcW w:w="2405" w:type="dxa"/>
          </w:tcPr>
          <w:p w14:paraId="00000193" w14:textId="5FD554D6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162489E2" w14:textId="77777777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Spotřebitelé, malé a střední podniky,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startupy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inovativní společnosti v oblasti financí a umělé inteligence</w:t>
            </w:r>
          </w:p>
          <w:p w14:paraId="00000195" w14:textId="77777777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</w:tc>
      </w:tr>
      <w:tr w:rsidR="00EB5AC6" w:rsidRPr="007A4BFB" w14:paraId="5D81D35D" w14:textId="77777777" w:rsidTr="3AF2AF2D">
        <w:tc>
          <w:tcPr>
            <w:tcW w:w="2405" w:type="dxa"/>
          </w:tcPr>
          <w:p w14:paraId="00000196" w14:textId="7A87597B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00000197" w14:textId="289FA4F0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Investice potřebná pro naplnění výše uvedeného cíle počítá s náklady 150 mil. Kč v období 2021-2023 a to zejména na tvorbu a provoz technické a technologické infrastruktury potřebné pro testování v oblasti financí a AI.</w:t>
            </w:r>
          </w:p>
        </w:tc>
      </w:tr>
      <w:tr w:rsidR="00EB5AC6" w:rsidRPr="007A4BFB" w14:paraId="2362BB67" w14:textId="77777777" w:rsidTr="3AF2AF2D">
        <w:tc>
          <w:tcPr>
            <w:tcW w:w="2405" w:type="dxa"/>
          </w:tcPr>
          <w:p w14:paraId="00000198" w14:textId="542DDDE7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00199" w14:textId="5CE79389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Veškerá veřejná podpora bude projednána a popřípadě notifikována v závislosti na konkrétních projektech a změnách dočasného rámce a dalších pravidel v souvislosti s implementací RRF/NPO.</w:t>
            </w:r>
          </w:p>
        </w:tc>
      </w:tr>
      <w:tr w:rsidR="00EB5AC6" w:rsidRPr="007A4BFB" w14:paraId="19C1B317" w14:textId="77777777" w:rsidTr="3AF2AF2D">
        <w:tc>
          <w:tcPr>
            <w:tcW w:w="2405" w:type="dxa"/>
          </w:tcPr>
          <w:p w14:paraId="0000019A" w14:textId="05762722" w:rsidR="00EB5AC6" w:rsidRPr="007A4BFB" w:rsidRDefault="00EB5AC6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0019B" w14:textId="34EA16F2" w:rsidR="00EB5AC6" w:rsidRPr="007A4BFB" w:rsidRDefault="00EB5AC6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Plánovaná doba implementace projektu je 36 měsíců.</w:t>
            </w:r>
          </w:p>
        </w:tc>
      </w:tr>
    </w:tbl>
    <w:p w14:paraId="04A0597B" w14:textId="77777777" w:rsidR="00365999" w:rsidRDefault="00365999" w:rsidP="3AF2AF2D">
      <w:pPr>
        <w:rPr>
          <w:rFonts w:asciiTheme="majorHAnsi" w:eastAsiaTheme="majorEastAsia" w:hAnsiTheme="majorHAnsi" w:cstheme="majorBidi"/>
          <w:sz w:val="20"/>
          <w:szCs w:val="20"/>
        </w:rPr>
      </w:pPr>
    </w:p>
    <w:p w14:paraId="66C33DB0" w14:textId="1695798F" w:rsidR="0097007C" w:rsidRPr="00365999" w:rsidRDefault="00365999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3.1 Vybudování kvantové komunikační infrastruktury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365999" w:rsidRPr="007A4BFB" w14:paraId="759FDAFD" w14:textId="77777777" w:rsidTr="3AF2AF2D">
        <w:tc>
          <w:tcPr>
            <w:tcW w:w="2405" w:type="dxa"/>
          </w:tcPr>
          <w:p w14:paraId="44FD74A9" w14:textId="77777777" w:rsidR="00365999" w:rsidRPr="007A4BFB" w:rsidRDefault="00365999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4A713F8D" w14:textId="77777777" w:rsidR="00365999" w:rsidRPr="007A4BFB" w:rsidRDefault="00365999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Předpokladem pro transformaci části průmyslové výroby je digitalizace tohoto odvětví na vysoké úrovni s požadavkem na rychlý přenos dat a jejich zpracování (metody tzv.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quantum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computing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). Vzhledem k vysokým nákladům na vstupní investice a bezpečnost provozu např. leteckých motorů a dalších součástí, je nutné poskytnout dostupnou infrastrukturu producentům ke sběru a analýze dat, vytvoření digitálního dvojčete produktu a další testovací prostředí. Dostupnost v ČR a nastavené logistické vazby v rámci EU přinese i další přidanou hodnotu ostatním státům EU.</w:t>
            </w:r>
          </w:p>
        </w:tc>
      </w:tr>
      <w:tr w:rsidR="00365999" w:rsidRPr="007A4BFB" w14:paraId="47C31978" w14:textId="77777777" w:rsidTr="3AF2AF2D">
        <w:tc>
          <w:tcPr>
            <w:tcW w:w="2405" w:type="dxa"/>
          </w:tcPr>
          <w:p w14:paraId="10A102CA" w14:textId="77777777" w:rsidR="00365999" w:rsidRPr="007A4BFB" w:rsidRDefault="00365999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BF4C1FF" w14:textId="51961009" w:rsidR="00365999" w:rsidRPr="007A4BFB" w:rsidRDefault="00365999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Nezbytným prvním krokem je vytvoření páteřní optické kvantové sítě v ČR, která se napojí na okolní státy a včlení do Evropské kvantové komunikační infrastruktury. Toto umožní testování a provozování celoevropského systému kvantové komunikace a jeho integrace do stávajících telekomunikačních technologií v ČR.</w:t>
            </w:r>
            <w:r w:rsidR="39C8FF0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 to na základě podpory </w:t>
            </w:r>
            <w:r w:rsidR="39C8FF0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z příslušné kapitoly programu Digitální Evropa, kterému tato investice poskytne národní kofinancování.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</w:p>
        </w:tc>
      </w:tr>
      <w:tr w:rsidR="00365999" w:rsidRPr="007A4BFB" w14:paraId="7B7AC8D7" w14:textId="77777777" w:rsidTr="3AF2AF2D">
        <w:tc>
          <w:tcPr>
            <w:tcW w:w="2405" w:type="dxa"/>
          </w:tcPr>
          <w:p w14:paraId="22B4F586" w14:textId="77777777" w:rsidR="00365999" w:rsidRPr="007A4BFB" w:rsidRDefault="00365999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133BE2DC" w14:textId="17DF8E3D" w:rsidR="00365999" w:rsidRPr="007A4BFB" w:rsidRDefault="39C8FF05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Vytvoření několika metropolitních vedlejších větví napojených přes páteřní síť na zbytek Evropské kvantové komunikační infrastruktury poskytne českému průmyslu infrastrukturu pro vývoj a testování komponent a softwaru kvantové komunikace, jakož i odbornou přípravu budoucích odborníků na optickou kvantovou komunikaci a operátorů kvantových linek. Provoz páteřní linky by se měl koncentrovat kolem kritické a bezpečnostní infrastruktury ČR. Pro podporu výzkumu a dalšího rozvoje technologií důležitou roli sehrají akademická pracoviště s rozsáhlými teoretickými znalostmi, dlouholetými experimentálními a technologickými zkušenostmi a relevantními doktorskými programy.</w:t>
            </w:r>
          </w:p>
        </w:tc>
      </w:tr>
      <w:tr w:rsidR="00365999" w:rsidRPr="007A4BFB" w14:paraId="3C932FEC" w14:textId="77777777" w:rsidTr="3AF2AF2D">
        <w:trPr>
          <w:trHeight w:val="70"/>
        </w:trPr>
        <w:tc>
          <w:tcPr>
            <w:tcW w:w="2405" w:type="dxa"/>
          </w:tcPr>
          <w:p w14:paraId="3077E5C7" w14:textId="77777777" w:rsidR="00365999" w:rsidRPr="007A4BFB" w:rsidRDefault="00365999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02B6DEEF" w14:textId="008334B2" w:rsidR="00365999" w:rsidRPr="007A4BFB" w:rsidRDefault="39C8FF05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Ministerstvo průmyslu a obchodu ČR, NÚKIB,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Cybersecurity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hub, partneři z výzkumných organizací</w:t>
            </w:r>
            <w:r w:rsidR="0036599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, Ministerstvo obrany ČR, průmysloví partneři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365999" w:rsidRPr="007A4BFB" w14:paraId="725E2EAE" w14:textId="77777777" w:rsidTr="3AF2AF2D">
        <w:tc>
          <w:tcPr>
            <w:tcW w:w="2405" w:type="dxa"/>
          </w:tcPr>
          <w:p w14:paraId="75A233F2" w14:textId="77777777" w:rsidR="00365999" w:rsidRPr="007A4BFB" w:rsidRDefault="00365999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AAFB922" w14:textId="1094B9F6" w:rsidR="00365999" w:rsidRPr="007A4BFB" w:rsidRDefault="00365999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Nedostatek finančních prostředků a prodloužení dodacích lhůt z důvodu vysoké technické náročnosti projektu. Technické komplikace vedoucí k prodloužení doby realizace. </w:t>
            </w:r>
            <w:r w:rsidR="0017667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Klíčovým rizikem jsou nedostatečné personální kapacity u implementující instituce (</w:t>
            </w:r>
            <w:r w:rsidR="00DB1F1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MPO</w:t>
            </w:r>
            <w:r w:rsidR="0017667B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).</w:t>
            </w:r>
          </w:p>
        </w:tc>
      </w:tr>
      <w:tr w:rsidR="00365999" w:rsidRPr="007A4BFB" w14:paraId="03DA5B94" w14:textId="77777777" w:rsidTr="3AF2AF2D">
        <w:tc>
          <w:tcPr>
            <w:tcW w:w="2405" w:type="dxa"/>
          </w:tcPr>
          <w:p w14:paraId="2231C78B" w14:textId="77777777" w:rsidR="00365999" w:rsidRPr="007A4BFB" w:rsidRDefault="00365999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6AC0DC8F" w14:textId="77777777" w:rsidR="00365999" w:rsidRPr="007A4BFB" w:rsidRDefault="00365999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Státní správa, výzkumné organizace, průmysloví partneři</w:t>
            </w:r>
          </w:p>
        </w:tc>
      </w:tr>
      <w:tr w:rsidR="00365999" w:rsidRPr="007A4BFB" w14:paraId="60AE6A36" w14:textId="77777777" w:rsidTr="3AF2AF2D">
        <w:tc>
          <w:tcPr>
            <w:tcW w:w="2405" w:type="dxa"/>
          </w:tcPr>
          <w:p w14:paraId="6AF7F961" w14:textId="77777777" w:rsidR="00365999" w:rsidRPr="007A4BFB" w:rsidRDefault="00365999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4626FC6B" w14:textId="34AECEE9" w:rsidR="00365999" w:rsidRPr="007A4BFB" w:rsidRDefault="7CCEBE5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Investice potřebná pro naplnění uvedeného cíle počítá s náklady </w:t>
            </w:r>
            <w:r w:rsidR="0036599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180 mil. Kč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</w:p>
        </w:tc>
      </w:tr>
      <w:tr w:rsidR="00365999" w:rsidRPr="007A4BFB" w14:paraId="0232C8FE" w14:textId="77777777" w:rsidTr="3AF2AF2D">
        <w:tc>
          <w:tcPr>
            <w:tcW w:w="2405" w:type="dxa"/>
          </w:tcPr>
          <w:p w14:paraId="1E2D958D" w14:textId="77777777" w:rsidR="00365999" w:rsidRPr="007A4BFB" w:rsidRDefault="00365999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5CF0655" w14:textId="0A202A46" w:rsidR="00365999" w:rsidRPr="007A4BFB" w:rsidRDefault="39C8FF05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</w:t>
            </w:r>
            <w:r w:rsidR="0036599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eřejná podpora bude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poskytnuta v rámci spolufinancování programu Digitální Evropa</w:t>
            </w:r>
            <w:r w:rsidR="00365999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.</w:t>
            </w:r>
            <w:r w:rsidR="00DB1F14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Jedná se o VVI, nikoliv budování samotné telekomunikační infrastruktury</w:t>
            </w:r>
          </w:p>
        </w:tc>
      </w:tr>
      <w:tr w:rsidR="00365999" w:rsidRPr="007A4BFB" w14:paraId="0A80C5D5" w14:textId="77777777" w:rsidTr="3AF2AF2D">
        <w:tc>
          <w:tcPr>
            <w:tcW w:w="2405" w:type="dxa"/>
          </w:tcPr>
          <w:p w14:paraId="71557124" w14:textId="77777777" w:rsidR="00365999" w:rsidRPr="007A4BFB" w:rsidRDefault="00365999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75E26D1C" w14:textId="2841C15B" w:rsidR="00365999" w:rsidRPr="007A4BFB" w:rsidRDefault="45CABA8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Plánovaná doba implementace </w:t>
            </w:r>
            <w:proofErr w:type="gram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projektu  je</w:t>
            </w:r>
            <w:proofErr w:type="gram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2021–2025.</w:t>
            </w:r>
          </w:p>
        </w:tc>
      </w:tr>
    </w:tbl>
    <w:p w14:paraId="3A1C06F8" w14:textId="77777777" w:rsidR="00365999" w:rsidRDefault="00365999" w:rsidP="3AF2AF2D">
      <w:pP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</w:p>
    <w:p w14:paraId="1709DABE" w14:textId="0505063D" w:rsidR="007E27EE" w:rsidRPr="00365999" w:rsidRDefault="0097007C" w:rsidP="3AF2AF2D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3.2 Podpora VVI v zasažených strategických </w:t>
      </w:r>
      <w:proofErr w:type="gramStart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>odvětvích - letecký</w:t>
      </w:r>
      <w:proofErr w:type="gramEnd"/>
      <w:r w:rsidRPr="3AF2AF2D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průmysl</w:t>
      </w:r>
    </w:p>
    <w:tbl>
      <w:tblPr>
        <w:tblStyle w:val="a7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7E27EE" w:rsidRPr="007A4BFB" w14:paraId="60B86016" w14:textId="77777777" w:rsidTr="3AF2AF2D">
        <w:tc>
          <w:tcPr>
            <w:tcW w:w="2405" w:type="dxa"/>
          </w:tcPr>
          <w:p w14:paraId="70196397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190E9D61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Vytvoření infrastruktury v rámci pilotního projektu na základech výzkumného projektu vytvářející plně digitalizovaný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testbed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pro letecký průmysl, což je odvětví s vysokou přidanou hodnotou a velkým podílem digitalizace. A to přímo v oblasti vývoje, tak i s nároky na podpůrnou infrastrukturu (např. HPOC, kvantové výpočty a komunikace).</w:t>
            </w:r>
          </w:p>
        </w:tc>
      </w:tr>
      <w:tr w:rsidR="007E27EE" w:rsidRPr="007A4BFB" w14:paraId="4300D78C" w14:textId="77777777" w:rsidTr="3AF2AF2D">
        <w:tc>
          <w:tcPr>
            <w:tcW w:w="2405" w:type="dxa"/>
          </w:tcPr>
          <w:p w14:paraId="1C4B21A2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955FE13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Cílem podpory pilotního projektu je vybudování infrastruktury potřebné pro rozvoj produkce pro letecký průmysl, který je závislý na vývoji, vysoké přesnosti výroby a sběru dat pro vytváření a užívání modelů (digitálních dvojčat) do reálného světa. S propojením na kvantové technologie dojde k možnosti dramatickému zvýšení kvality a rychlosti počítání a komunikace, což je právě v tomto oboru velmi přínosné a zároveň následně přenositelné do dalších oborů. Cílem je urychlení simulace při návrhu letadel a jejich komponent, což právě v letecké dopravě je velmi důležité pro náročné </w:t>
            </w:r>
            <w:proofErr w:type="gram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3D</w:t>
            </w:r>
            <w:proofErr w:type="gram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výpočty obtékání a proudění a celkové urychlení komplexních </w:t>
            </w:r>
            <w:proofErr w:type="spellStart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multifyzikálních</w:t>
            </w:r>
            <w:proofErr w:type="spellEnd"/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simulací. Dále se očekává kvalitativní skok v počítačovém řízení letadel a rychlé predikce chování letadla na základě jeho modelu.</w:t>
            </w:r>
          </w:p>
        </w:tc>
      </w:tr>
      <w:tr w:rsidR="007E27EE" w:rsidRPr="007A4BFB" w14:paraId="1F11BD7D" w14:textId="77777777" w:rsidTr="3AF2AF2D">
        <w:tc>
          <w:tcPr>
            <w:tcW w:w="2405" w:type="dxa"/>
          </w:tcPr>
          <w:p w14:paraId="1259FBFD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2124E27E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Ministerstvo školství, mládeže a tělovýchovy ČR a partnery z výzkumných organizací, VZLÚ a průmyslových partnerů</w:t>
            </w:r>
          </w:p>
        </w:tc>
      </w:tr>
      <w:tr w:rsidR="007E27EE" w:rsidRPr="007A4BFB" w14:paraId="26D32E61" w14:textId="77777777" w:rsidTr="3AF2AF2D">
        <w:trPr>
          <w:trHeight w:val="70"/>
        </w:trPr>
        <w:tc>
          <w:tcPr>
            <w:tcW w:w="2405" w:type="dxa"/>
          </w:tcPr>
          <w:p w14:paraId="069F235B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221BFD5A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Zapojeny budou: výzkumné organizace, VZLÚ, průmysloví partneři v oboru</w:t>
            </w:r>
          </w:p>
        </w:tc>
      </w:tr>
      <w:tr w:rsidR="007E27EE" w:rsidRPr="007A4BFB" w14:paraId="7897C2D7" w14:textId="77777777" w:rsidTr="3AF2AF2D">
        <w:tc>
          <w:tcPr>
            <w:tcW w:w="2405" w:type="dxa"/>
          </w:tcPr>
          <w:p w14:paraId="0EA6FA0F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36D3DB7B" w14:textId="363FC595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Nedostatek finančních prostředků a prodloužení dodacích lhůt z důvodu vysoké technické náročnosti projektu. Technické komplikace vedoucí k prodloužení doby realizace. </w:t>
            </w:r>
            <w:r w:rsidR="39C8FF05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="007E27EE" w:rsidRPr="007A4BFB" w14:paraId="2EB66912" w14:textId="77777777" w:rsidTr="3AF2AF2D">
        <w:tc>
          <w:tcPr>
            <w:tcW w:w="2405" w:type="dxa"/>
          </w:tcPr>
          <w:p w14:paraId="711AA50B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63A896A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Velcí průmysloví partneři a na ně navázány malé a střední podniky ve výrobním sektoru</w:t>
            </w:r>
          </w:p>
        </w:tc>
      </w:tr>
      <w:tr w:rsidR="007E27EE" w:rsidRPr="007A4BFB" w14:paraId="7090C8A4" w14:textId="77777777" w:rsidTr="3AF2AF2D">
        <w:tc>
          <w:tcPr>
            <w:tcW w:w="2405" w:type="dxa"/>
          </w:tcPr>
          <w:p w14:paraId="26E9AEE8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6DE7CC2D" w14:textId="723A9C75" w:rsidR="007E27EE" w:rsidRPr="007A4BFB" w:rsidRDefault="7CCEBE5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Investice potřebná pro naplnění výše uvedeného cíle počítá s náklady 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1 </w:t>
            </w: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0</w:t>
            </w:r>
            <w:r w:rsidR="007E27EE"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00 mil. Kč</w:t>
            </w:r>
          </w:p>
        </w:tc>
      </w:tr>
      <w:tr w:rsidR="007E27EE" w:rsidRPr="007A4BFB" w14:paraId="5DBAA7D6" w14:textId="77777777" w:rsidTr="3AF2AF2D">
        <w:tc>
          <w:tcPr>
            <w:tcW w:w="2405" w:type="dxa"/>
          </w:tcPr>
          <w:p w14:paraId="7D6E23CD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056062CB" w14:textId="77777777" w:rsidR="007E27EE" w:rsidRPr="007A4BFB" w:rsidRDefault="007E27EE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i/>
                <w:iCs/>
                <w:color w:val="2196FF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Veškerá veřejná podpora bude projednána a popřípadě notifikována v závislosti na konkrétních projektech a změnách dočasného rámce a dalších pravidel v souvislosti s implementací RRF/NPO.</w:t>
            </w:r>
          </w:p>
        </w:tc>
      </w:tr>
      <w:tr w:rsidR="007E27EE" w:rsidRPr="007A4BFB" w14:paraId="6459B2AB" w14:textId="77777777" w:rsidTr="3AF2AF2D">
        <w:tc>
          <w:tcPr>
            <w:tcW w:w="2405" w:type="dxa"/>
          </w:tcPr>
          <w:p w14:paraId="5CC5AF62" w14:textId="77777777" w:rsidR="007E27EE" w:rsidRPr="007A4BFB" w:rsidRDefault="007E27EE" w:rsidP="3AF2AF2D">
            <w:pPr>
              <w:spacing w:after="120" w:line="276" w:lineRule="auto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6E618FF" w14:textId="7DA387B0" w:rsidR="007E27EE" w:rsidRPr="007A4BFB" w:rsidRDefault="45CABA8A" w:rsidP="3AF2AF2D">
            <w:pPr>
              <w:spacing w:after="120" w:line="276" w:lineRule="auto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3AF2AF2D">
              <w:rPr>
                <w:rFonts w:asciiTheme="majorHAnsi" w:eastAsiaTheme="majorEastAsia" w:hAnsiTheme="majorHAnsi" w:cstheme="majorBidi"/>
                <w:sz w:val="20"/>
                <w:szCs w:val="20"/>
              </w:rPr>
              <w:t>Plánovaná doba implementace projektu je 2021–2022.</w:t>
            </w:r>
          </w:p>
        </w:tc>
      </w:tr>
    </w:tbl>
    <w:p w14:paraId="000001DE" w14:textId="79460B74" w:rsidR="007D49E4" w:rsidRPr="00AB51BB" w:rsidRDefault="007D49E4" w:rsidP="3AF2AF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80" w:after="0" w:line="276" w:lineRule="auto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</w:p>
    <w:p w14:paraId="6B41BB41" w14:textId="472257E9" w:rsidR="433EDF11" w:rsidRPr="00BE74BF" w:rsidRDefault="433EDF11" w:rsidP="00BE74BF">
      <w:pPr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00BE74BF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6. </w:t>
      </w:r>
      <w:proofErr w:type="gramStart"/>
      <w:r w:rsidRPr="00BE74BF">
        <w:rPr>
          <w:rFonts w:asciiTheme="majorHAnsi" w:eastAsiaTheme="majorEastAsia" w:hAnsiTheme="majorHAnsi" w:cstheme="majorBidi"/>
          <w:b/>
          <w:bCs/>
          <w:sz w:val="20"/>
          <w:szCs w:val="20"/>
        </w:rPr>
        <w:t>Zelený</w:t>
      </w:r>
      <w:proofErr w:type="gramEnd"/>
      <w:r w:rsidRPr="00BE74BF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rozměr </w:t>
      </w:r>
      <w:r w:rsidRPr="00BE74BF">
        <w:rPr>
          <w:b/>
          <w:color w:val="000000" w:themeColor="text1"/>
          <w:sz w:val="20"/>
          <w:szCs w:val="20"/>
        </w:rPr>
        <w:t>komponenty</w:t>
      </w:r>
    </w:p>
    <w:p w14:paraId="000001E6" w14:textId="19BFABB2" w:rsidR="007D49E4" w:rsidRPr="00AB51BB" w:rsidRDefault="00603083" w:rsidP="3AF2AF2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26F4D21">
        <w:rPr>
          <w:rFonts w:asciiTheme="majorHAnsi" w:eastAsiaTheme="majorEastAsia" w:hAnsiTheme="majorHAnsi" w:cstheme="majorBidi"/>
          <w:sz w:val="20"/>
          <w:szCs w:val="20"/>
        </w:rPr>
        <w:t>Inovace v technologii jsou klíčem k řešení globálních výzev změny klimatu, pomáhají podnikům a společnosti obecně bojovat a připravovat se na jejich dopady a přechodu k nízkouhlíkové budoucnosti. Pro mnoho společností je boj proti změně klimatu společenským i ekonomickým imperativem: snaží se budovat schopnosti, které potřebují pro udržitelnější výrobu zboží a služeb, podporovat jejich nízkouhlíkovou transformaci, ale také spravovat finanční problémy spojené s klimatem. rizika na ochranu životaschopnosti jejich podnikání. Plánujeme pomocí technologie a inovací podpořit nová řešení pro řešení obtížných environmentálních výzev. Řešení založená na datech a výpočetní výkon jsou klíčem k podpoře přechodu k udržitelnějším ekonomikám.</w:t>
      </w:r>
    </w:p>
    <w:p w14:paraId="3074A96E" w14:textId="4B83BB17" w:rsidR="007D49E4" w:rsidRPr="00AB51BB" w:rsidRDefault="5030D852" w:rsidP="026F4D21">
      <w:pPr>
        <w:pBdr>
          <w:top w:val="nil"/>
          <w:left w:val="nil"/>
          <w:bottom w:val="nil"/>
          <w:right w:val="nil"/>
          <w:between w:val="nil"/>
        </w:pBdr>
        <w:spacing w:before="80" w:after="0" w:line="276" w:lineRule="auto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026F4D21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7. Digitální rozměr komponenty </w:t>
      </w:r>
    </w:p>
    <w:p w14:paraId="3A02865E" w14:textId="67AAAD1A" w:rsidR="007D49E4" w:rsidRPr="00AB51BB" w:rsidRDefault="5030D852" w:rsidP="026F4D2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26F4D21">
        <w:rPr>
          <w:rFonts w:asciiTheme="majorHAnsi" w:eastAsiaTheme="majorEastAsia" w:hAnsiTheme="majorHAnsi" w:cstheme="majorBidi"/>
          <w:sz w:val="20"/>
          <w:szCs w:val="20"/>
        </w:rPr>
        <w:t>Komponenta naplňuje Digitální agendu. Její obsah je zcela v souladu s Programem Digitální Česko – koncepcí Digitální ekonomika a společnost jako základních strategických dokumentů národního digitálního plánu.</w:t>
      </w:r>
    </w:p>
    <w:p w14:paraId="694BCF82" w14:textId="4E24F616" w:rsidR="007D49E4" w:rsidRPr="00AB51BB" w:rsidRDefault="5030D852" w:rsidP="026F4D2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26F4D21">
        <w:rPr>
          <w:rFonts w:asciiTheme="majorHAnsi" w:eastAsiaTheme="majorEastAsia" w:hAnsiTheme="majorHAnsi" w:cstheme="majorBidi"/>
          <w:sz w:val="20"/>
          <w:szCs w:val="20"/>
        </w:rPr>
        <w:t>Komponenta dále naplňuje veškeré cíle Národní strategie umělé inteligence ČR, jejímž hlavním cílem je vybudování AI ekosystému, který je součástí digitálního ekosystému. Inovační strategie 2019-2030 je také zásadním dokumentem, který zavádí potřebu vytvořit digitální ekosystém včetně všech důležitých aktérů, jako jsou Evropská centra pro digitální inovace, Centra excelence v AI či Testovacích a experimentálních zařízení. Je zcela evidentní, že propojení Národního plánu obnovy v oblasti digitalizace je v souladu se všemi významnými a klíčovými dokum</w:t>
      </w:r>
      <w:bookmarkStart w:id="1" w:name="_GoBack"/>
      <w:bookmarkEnd w:id="1"/>
      <w:r w:rsidRPr="026F4D21">
        <w:rPr>
          <w:rFonts w:asciiTheme="majorHAnsi" w:eastAsiaTheme="majorEastAsia" w:hAnsiTheme="majorHAnsi" w:cstheme="majorBidi"/>
          <w:sz w:val="20"/>
          <w:szCs w:val="20"/>
        </w:rPr>
        <w:t>enty České republiky.</w:t>
      </w:r>
    </w:p>
    <w:p w14:paraId="00000217" w14:textId="78DA4728" w:rsidR="007D49E4" w:rsidRPr="00AB51BB" w:rsidRDefault="007D49E4" w:rsidP="026F4D2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sectPr w:rsidR="007D49E4" w:rsidRPr="00AB51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87CE3" w14:textId="77777777" w:rsidR="00245DA6" w:rsidRDefault="00245DA6">
      <w:pPr>
        <w:spacing w:after="0" w:line="240" w:lineRule="auto"/>
      </w:pPr>
      <w:r>
        <w:separator/>
      </w:r>
    </w:p>
  </w:endnote>
  <w:endnote w:type="continuationSeparator" w:id="0">
    <w:p w14:paraId="1AE2EFC7" w14:textId="77777777" w:rsidR="00245DA6" w:rsidRDefault="00245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D" w14:textId="77777777" w:rsidR="00FB1BDD" w:rsidRDefault="00FB1B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C" w14:textId="77777777" w:rsidR="00FB1BDD" w:rsidRDefault="00FB1B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E" w14:textId="77777777" w:rsidR="00FB1BDD" w:rsidRDefault="00FB1B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9A317" w14:textId="77777777" w:rsidR="00245DA6" w:rsidRDefault="00245DA6">
      <w:pPr>
        <w:spacing w:after="0" w:line="240" w:lineRule="auto"/>
      </w:pPr>
      <w:r>
        <w:separator/>
      </w:r>
    </w:p>
  </w:footnote>
  <w:footnote w:type="continuationSeparator" w:id="0">
    <w:p w14:paraId="2DA092FA" w14:textId="77777777" w:rsidR="00245DA6" w:rsidRDefault="00245DA6">
      <w:pPr>
        <w:spacing w:after="0" w:line="240" w:lineRule="auto"/>
      </w:pPr>
      <w:r>
        <w:continuationSeparator/>
      </w:r>
    </w:p>
  </w:footnote>
  <w:footnote w:id="1">
    <w:p w14:paraId="0B8813EA" w14:textId="77777777" w:rsidR="00EB5AC6" w:rsidRDefault="00EB5AC6" w:rsidP="00EB5AC6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OECD předpokládá, že český HDP poklesne v roce 2020 o 6,8 %, poté v roce 2021 růst jen o </w:t>
      </w:r>
      <w:proofErr w:type="gramStart"/>
      <w:r>
        <w:rPr>
          <w:sz w:val="20"/>
          <w:szCs w:val="20"/>
        </w:rPr>
        <w:t>1,5%</w:t>
      </w:r>
      <w:proofErr w:type="gramEnd"/>
      <w:r>
        <w:rPr>
          <w:sz w:val="20"/>
          <w:szCs w:val="20"/>
        </w:rPr>
        <w:t xml:space="preserve"> a v roce 2022 o 3,3%, HDP však v příštích dvou letech zůstane pod úrovní před krizí.</w:t>
      </w:r>
    </w:p>
  </w:footnote>
  <w:footnote w:id="2">
    <w:p w14:paraId="5CFBDF83" w14:textId="1D6524E0" w:rsidR="00FB1BDD" w:rsidRPr="00BA6439" w:rsidRDefault="00FB1BDD" w:rsidP="0097007C">
      <w:pPr>
        <w:pStyle w:val="Textpoznpodarou"/>
        <w:rPr>
          <w:sz w:val="16"/>
          <w:szCs w:val="16"/>
        </w:rPr>
      </w:pPr>
      <w:r w:rsidRPr="00BA6439">
        <w:rPr>
          <w:rStyle w:val="Znakapoznpodarou"/>
          <w:sz w:val="16"/>
          <w:szCs w:val="16"/>
        </w:rPr>
        <w:footnoteRef/>
      </w:r>
      <w:r w:rsidRPr="00BA6439">
        <w:rPr>
          <w:sz w:val="16"/>
          <w:szCs w:val="16"/>
        </w:rPr>
        <w:t xml:space="preserve"> Příklad: V Olomouckém kra</w:t>
      </w:r>
      <w:r w:rsidR="00942708">
        <w:rPr>
          <w:sz w:val="16"/>
          <w:szCs w:val="16"/>
        </w:rPr>
        <w:t>ji</w:t>
      </w:r>
      <w:r w:rsidRPr="00BA6439">
        <w:rPr>
          <w:sz w:val="16"/>
          <w:szCs w:val="16"/>
        </w:rPr>
        <w:t xml:space="preserve"> je</w:t>
      </w:r>
      <w:r w:rsidRPr="00BA6439">
        <w:rPr>
          <w:b/>
          <w:bCs/>
          <w:sz w:val="16"/>
          <w:szCs w:val="16"/>
        </w:rPr>
        <w:t xml:space="preserve"> </w:t>
      </w:r>
      <w:r w:rsidRPr="00BA6439">
        <w:rPr>
          <w:sz w:val="16"/>
          <w:szCs w:val="16"/>
        </w:rPr>
        <w:t xml:space="preserve">92 středních </w:t>
      </w:r>
      <w:r w:rsidR="00A67E3E" w:rsidRPr="00BA6439">
        <w:rPr>
          <w:sz w:val="16"/>
          <w:szCs w:val="16"/>
        </w:rPr>
        <w:t>škol – pouze</w:t>
      </w:r>
      <w:r w:rsidRPr="00BA6439">
        <w:rPr>
          <w:sz w:val="16"/>
          <w:szCs w:val="16"/>
        </w:rPr>
        <w:t xml:space="preserve"> 2 % žáků uvažují podle průzkumu o podnikání (šetření proběhlo v roce 2019; viz údaje od zástupce Olomouckého inovační centra)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B" w14:textId="0B7A19A4" w:rsidR="00FB1BDD" w:rsidRDefault="00CB62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364D4A" wp14:editId="521BF96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3" name="Textové pole 3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F83FEE" w14:textId="30B95C70" w:rsidR="00CB6237" w:rsidRPr="00CB6237" w:rsidRDefault="00CB6237">
                          <w:pPr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B6237">
                            <w:rPr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w16="http://schemas.microsoft.com/office/word/2018/wordml" xmlns:w16cex="http://schemas.microsoft.com/office/word/2018/wordml/cex">
          <w:pict w14:anchorId="19868188">
            <v:shapetype id="_x0000_t202" coordsize="21600,21600" o:spt="202" path="m,l,21600r21600,l21600,xe" w14:anchorId="66364D4A">
              <v:stroke joinstyle="miter"/>
              <v:path gradientshapeok="t" o:connecttype="rect"/>
            </v:shapetype>
            <v:shape id="Textové pole 3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Pilt9VJAgAA&#10;bgQAAA4AAAAAAAAAAAAAAAAALgIAAGRycy9lMm9Eb2MueG1sUEsBAi0AFAAGAAgAAAAhADSBOhba&#10;AAAAAwEAAA8AAAAAAAAAAAAAAAAAowQAAGRycy9kb3ducmV2LnhtbFBLBQYAAAAABAAEAPMAAACq&#10;BQAAAAA=&#10;">
              <v:fill o:detectmouseclick="t"/>
              <v:textbox style="mso-fit-shape-to-text:t" inset="5pt,0,0,0">
                <w:txbxContent>
                  <w:p w:rsidRPr="00CB6237" w:rsidR="00CB6237" w:rsidRDefault="00CB6237" w14:paraId="1BCEFC09" w14:textId="30B95C70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 w:rsidRPr="00CB6237">
                      <w:rPr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A" w14:textId="04BDFAB5" w:rsidR="00FB1BDD" w:rsidRDefault="00CB62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47A30F" wp14:editId="4D8BAC5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4" name="Textové pole 4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A577E0" w14:textId="71F48B2A" w:rsidR="00CB6237" w:rsidRPr="00CB6237" w:rsidRDefault="00CB6237">
                          <w:pPr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B6237">
                            <w:rPr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w16="http://schemas.microsoft.com/office/word/2018/wordml" xmlns:w16cex="http://schemas.microsoft.com/office/word/2018/wordml/cex">
          <w:pict w14:anchorId="54A7313A">
            <v:shapetype id="_x0000_t202" coordsize="21600,21600" o:spt="202" path="m,l,21600r21600,l21600,xe" w14:anchorId="0747A30F">
              <v:stroke joinstyle="miter"/>
              <v:path gradientshapeok="t" o:connecttype="rect"/>
            </v:shapetype>
            <v:shape id="Textové pole 4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">
              <v:fill o:detectmouseclick="t"/>
              <v:textbox style="mso-fit-shape-to-text:t" inset="5pt,0,0,0">
                <w:txbxContent>
                  <w:p w:rsidRPr="00CB6237" w:rsidR="00CB6237" w:rsidRDefault="00CB6237" w14:paraId="1163FFC9" w14:textId="71F48B2A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 w:rsidRPr="00CB6237">
                      <w:rPr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9" w14:textId="2E8059B1" w:rsidR="00FB1BDD" w:rsidRDefault="00CB62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CFDB49E" wp14:editId="597C16C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3BB409" w14:textId="3776893F" w:rsidR="00CB6237" w:rsidRPr="00CB6237" w:rsidRDefault="00CB6237">
                          <w:pPr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B6237">
                            <w:rPr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w16="http://schemas.microsoft.com/office/word/2018/wordml" xmlns:w16cex="http://schemas.microsoft.com/office/word/2018/wordml/cex">
          <w:pict w14:anchorId="5BDCF74F">
            <v:shapetype id="_x0000_t202" coordsize="21600,21600" o:spt="202" path="m,l,21600r21600,l21600,xe" w14:anchorId="0CFDB49E">
              <v:stroke joinstyle="miter"/>
              <v:path gradientshapeok="t" o:connecttype="rect"/>
            </v:shapetype>
            <v:shape id="Textové pole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">
              <v:fill o:detectmouseclick="t"/>
              <v:textbox style="mso-fit-shape-to-text:t" inset="5pt,0,0,0">
                <w:txbxContent>
                  <w:p w:rsidRPr="00CB6237" w:rsidR="00CB6237" w:rsidRDefault="00CB6237" w14:paraId="67DBD644" w14:textId="3776893F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 w:rsidRPr="00CB6237">
                      <w:rPr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357A"/>
    <w:multiLevelType w:val="hybridMultilevel"/>
    <w:tmpl w:val="78501300"/>
    <w:lvl w:ilvl="0" w:tplc="6304F780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ABF67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527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62E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828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723B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3E4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AE4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478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F554A"/>
    <w:multiLevelType w:val="hybridMultilevel"/>
    <w:tmpl w:val="9FA27C26"/>
    <w:lvl w:ilvl="0" w:tplc="1BDAE3B6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7E9E0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C23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4422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06FF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309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4B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089E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9262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F49C0"/>
    <w:multiLevelType w:val="multilevel"/>
    <w:tmpl w:val="1D84AB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C862000"/>
    <w:multiLevelType w:val="multilevel"/>
    <w:tmpl w:val="953A6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D971771"/>
    <w:multiLevelType w:val="multilevel"/>
    <w:tmpl w:val="DC623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DBC7352"/>
    <w:multiLevelType w:val="multilevel"/>
    <w:tmpl w:val="E8C2FB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1FD6"/>
    <w:multiLevelType w:val="multilevel"/>
    <w:tmpl w:val="26563B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1EF0FFF"/>
    <w:multiLevelType w:val="multilevel"/>
    <w:tmpl w:val="C2082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324E24"/>
    <w:multiLevelType w:val="multilevel"/>
    <w:tmpl w:val="053C3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BF2DCB"/>
    <w:multiLevelType w:val="multilevel"/>
    <w:tmpl w:val="E084D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BC4273A"/>
    <w:multiLevelType w:val="multilevel"/>
    <w:tmpl w:val="314CA7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B47640B"/>
    <w:multiLevelType w:val="multilevel"/>
    <w:tmpl w:val="9DE4CF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CE677E3"/>
    <w:multiLevelType w:val="hybridMultilevel"/>
    <w:tmpl w:val="410CF1A6"/>
    <w:lvl w:ilvl="0" w:tplc="0B0AF2EE">
      <w:start w:val="1"/>
      <w:numFmt w:val="decimal"/>
      <w:lvlText w:val="%1."/>
      <w:lvlJc w:val="left"/>
      <w:pPr>
        <w:ind w:left="720" w:hanging="360"/>
      </w:pPr>
    </w:lvl>
    <w:lvl w:ilvl="1" w:tplc="3E8278FC">
      <w:start w:val="1"/>
      <w:numFmt w:val="lowerLetter"/>
      <w:lvlText w:val="%2."/>
      <w:lvlJc w:val="left"/>
      <w:pPr>
        <w:ind w:left="1440" w:hanging="360"/>
      </w:pPr>
    </w:lvl>
    <w:lvl w:ilvl="2" w:tplc="CC54377E">
      <w:start w:val="1"/>
      <w:numFmt w:val="lowerRoman"/>
      <w:lvlText w:val="%3."/>
      <w:lvlJc w:val="right"/>
      <w:pPr>
        <w:ind w:left="2160" w:hanging="180"/>
      </w:pPr>
    </w:lvl>
    <w:lvl w:ilvl="3" w:tplc="3A34529E">
      <w:start w:val="1"/>
      <w:numFmt w:val="decimal"/>
      <w:lvlText w:val="%4."/>
      <w:lvlJc w:val="left"/>
      <w:pPr>
        <w:ind w:left="2880" w:hanging="360"/>
      </w:pPr>
    </w:lvl>
    <w:lvl w:ilvl="4" w:tplc="F23EBBFC">
      <w:start w:val="1"/>
      <w:numFmt w:val="lowerLetter"/>
      <w:lvlText w:val="%5."/>
      <w:lvlJc w:val="left"/>
      <w:pPr>
        <w:ind w:left="3600" w:hanging="360"/>
      </w:pPr>
    </w:lvl>
    <w:lvl w:ilvl="5" w:tplc="2BC227E2">
      <w:start w:val="1"/>
      <w:numFmt w:val="lowerRoman"/>
      <w:lvlText w:val="%6."/>
      <w:lvlJc w:val="right"/>
      <w:pPr>
        <w:ind w:left="4320" w:hanging="180"/>
      </w:pPr>
    </w:lvl>
    <w:lvl w:ilvl="6" w:tplc="6E7E6E46">
      <w:start w:val="1"/>
      <w:numFmt w:val="decimal"/>
      <w:lvlText w:val="%7."/>
      <w:lvlJc w:val="left"/>
      <w:pPr>
        <w:ind w:left="5040" w:hanging="360"/>
      </w:pPr>
    </w:lvl>
    <w:lvl w:ilvl="7" w:tplc="CF7AF0F0">
      <w:start w:val="1"/>
      <w:numFmt w:val="lowerLetter"/>
      <w:lvlText w:val="%8."/>
      <w:lvlJc w:val="left"/>
      <w:pPr>
        <w:ind w:left="5760" w:hanging="360"/>
      </w:pPr>
    </w:lvl>
    <w:lvl w:ilvl="8" w:tplc="BF14E0F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F3CA0"/>
    <w:multiLevelType w:val="multilevel"/>
    <w:tmpl w:val="0108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A90A68"/>
    <w:multiLevelType w:val="multilevel"/>
    <w:tmpl w:val="F4DE6D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714035D"/>
    <w:multiLevelType w:val="hybridMultilevel"/>
    <w:tmpl w:val="6D0CEE02"/>
    <w:lvl w:ilvl="0" w:tplc="59768C3E">
      <w:start w:val="1"/>
      <w:numFmt w:val="decimal"/>
      <w:lvlText w:val="%1."/>
      <w:lvlJc w:val="left"/>
      <w:pPr>
        <w:ind w:left="720" w:hanging="360"/>
      </w:pPr>
    </w:lvl>
    <w:lvl w:ilvl="1" w:tplc="AD4A8CE6">
      <w:start w:val="1"/>
      <w:numFmt w:val="lowerLetter"/>
      <w:lvlText w:val="%2."/>
      <w:lvlJc w:val="left"/>
      <w:pPr>
        <w:ind w:left="1440" w:hanging="360"/>
      </w:pPr>
    </w:lvl>
    <w:lvl w:ilvl="2" w:tplc="D7FC664E">
      <w:start w:val="1"/>
      <w:numFmt w:val="lowerRoman"/>
      <w:lvlText w:val="%3."/>
      <w:lvlJc w:val="right"/>
      <w:pPr>
        <w:ind w:left="2160" w:hanging="180"/>
      </w:pPr>
    </w:lvl>
    <w:lvl w:ilvl="3" w:tplc="59D8217C">
      <w:start w:val="1"/>
      <w:numFmt w:val="decimal"/>
      <w:lvlText w:val="%4."/>
      <w:lvlJc w:val="left"/>
      <w:pPr>
        <w:ind w:left="2880" w:hanging="360"/>
      </w:pPr>
    </w:lvl>
    <w:lvl w:ilvl="4" w:tplc="0FF0D406">
      <w:start w:val="1"/>
      <w:numFmt w:val="lowerLetter"/>
      <w:lvlText w:val="%5."/>
      <w:lvlJc w:val="left"/>
      <w:pPr>
        <w:ind w:left="3600" w:hanging="360"/>
      </w:pPr>
    </w:lvl>
    <w:lvl w:ilvl="5" w:tplc="6F266E82">
      <w:start w:val="1"/>
      <w:numFmt w:val="lowerRoman"/>
      <w:lvlText w:val="%6."/>
      <w:lvlJc w:val="right"/>
      <w:pPr>
        <w:ind w:left="4320" w:hanging="180"/>
      </w:pPr>
    </w:lvl>
    <w:lvl w:ilvl="6" w:tplc="F648E57A">
      <w:start w:val="1"/>
      <w:numFmt w:val="decimal"/>
      <w:lvlText w:val="%7."/>
      <w:lvlJc w:val="left"/>
      <w:pPr>
        <w:ind w:left="5040" w:hanging="360"/>
      </w:pPr>
    </w:lvl>
    <w:lvl w:ilvl="7" w:tplc="F5683740">
      <w:start w:val="1"/>
      <w:numFmt w:val="lowerLetter"/>
      <w:lvlText w:val="%8."/>
      <w:lvlJc w:val="left"/>
      <w:pPr>
        <w:ind w:left="5760" w:hanging="360"/>
      </w:pPr>
    </w:lvl>
    <w:lvl w:ilvl="8" w:tplc="023871F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9737E"/>
    <w:multiLevelType w:val="hybridMultilevel"/>
    <w:tmpl w:val="4B2059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10D75"/>
    <w:multiLevelType w:val="multilevel"/>
    <w:tmpl w:val="C88C44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AF635D2"/>
    <w:multiLevelType w:val="hybridMultilevel"/>
    <w:tmpl w:val="031E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E3C6C"/>
    <w:multiLevelType w:val="multilevel"/>
    <w:tmpl w:val="977869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DAD1B12"/>
    <w:multiLevelType w:val="multilevel"/>
    <w:tmpl w:val="555E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EE61B0"/>
    <w:multiLevelType w:val="multilevel"/>
    <w:tmpl w:val="AD4A66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0"/>
  </w:num>
  <w:num w:numId="5">
    <w:abstractNumId w:val="11"/>
  </w:num>
  <w:num w:numId="6">
    <w:abstractNumId w:val="14"/>
  </w:num>
  <w:num w:numId="7">
    <w:abstractNumId w:val="21"/>
  </w:num>
  <w:num w:numId="8">
    <w:abstractNumId w:val="9"/>
  </w:num>
  <w:num w:numId="9">
    <w:abstractNumId w:val="4"/>
  </w:num>
  <w:num w:numId="10">
    <w:abstractNumId w:val="17"/>
  </w:num>
  <w:num w:numId="11">
    <w:abstractNumId w:val="10"/>
  </w:num>
  <w:num w:numId="12">
    <w:abstractNumId w:val="2"/>
  </w:num>
  <w:num w:numId="13">
    <w:abstractNumId w:val="3"/>
  </w:num>
  <w:num w:numId="14">
    <w:abstractNumId w:val="19"/>
  </w:num>
  <w:num w:numId="15">
    <w:abstractNumId w:val="7"/>
  </w:num>
  <w:num w:numId="16">
    <w:abstractNumId w:val="5"/>
  </w:num>
  <w:num w:numId="17">
    <w:abstractNumId w:val="6"/>
  </w:num>
  <w:num w:numId="18">
    <w:abstractNumId w:val="18"/>
  </w:num>
  <w:num w:numId="19">
    <w:abstractNumId w:val="16"/>
  </w:num>
  <w:num w:numId="20">
    <w:abstractNumId w:val="13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E4"/>
    <w:rsid w:val="0004176C"/>
    <w:rsid w:val="000424AA"/>
    <w:rsid w:val="00042529"/>
    <w:rsid w:val="0004312B"/>
    <w:rsid w:val="00054588"/>
    <w:rsid w:val="00054C0F"/>
    <w:rsid w:val="0009283F"/>
    <w:rsid w:val="000B24C0"/>
    <w:rsid w:val="000D168E"/>
    <w:rsid w:val="000D349A"/>
    <w:rsid w:val="00136DD0"/>
    <w:rsid w:val="001546C1"/>
    <w:rsid w:val="0017667B"/>
    <w:rsid w:val="00183C82"/>
    <w:rsid w:val="0019309D"/>
    <w:rsid w:val="001A234F"/>
    <w:rsid w:val="001C1041"/>
    <w:rsid w:val="001D60C1"/>
    <w:rsid w:val="00205D0D"/>
    <w:rsid w:val="00237B58"/>
    <w:rsid w:val="00243568"/>
    <w:rsid w:val="00245DA6"/>
    <w:rsid w:val="002664A4"/>
    <w:rsid w:val="002739AF"/>
    <w:rsid w:val="002A0C82"/>
    <w:rsid w:val="002A6376"/>
    <w:rsid w:val="002B4F36"/>
    <w:rsid w:val="002C662E"/>
    <w:rsid w:val="0031097D"/>
    <w:rsid w:val="003471DC"/>
    <w:rsid w:val="00361A0C"/>
    <w:rsid w:val="00365999"/>
    <w:rsid w:val="003B5833"/>
    <w:rsid w:val="003C5BA7"/>
    <w:rsid w:val="003D6504"/>
    <w:rsid w:val="00430F8B"/>
    <w:rsid w:val="0045092C"/>
    <w:rsid w:val="00454475"/>
    <w:rsid w:val="00466612"/>
    <w:rsid w:val="004834F5"/>
    <w:rsid w:val="00484671"/>
    <w:rsid w:val="00523079"/>
    <w:rsid w:val="0053195C"/>
    <w:rsid w:val="00567530"/>
    <w:rsid w:val="005C63B0"/>
    <w:rsid w:val="005F4D09"/>
    <w:rsid w:val="00603083"/>
    <w:rsid w:val="00623093"/>
    <w:rsid w:val="006A10D7"/>
    <w:rsid w:val="006B311E"/>
    <w:rsid w:val="006F6788"/>
    <w:rsid w:val="007022F7"/>
    <w:rsid w:val="00717BCD"/>
    <w:rsid w:val="007A4BFB"/>
    <w:rsid w:val="007A5CD4"/>
    <w:rsid w:val="007D4313"/>
    <w:rsid w:val="007D49E4"/>
    <w:rsid w:val="007E27EE"/>
    <w:rsid w:val="0083189E"/>
    <w:rsid w:val="00845819"/>
    <w:rsid w:val="0087105F"/>
    <w:rsid w:val="008922B2"/>
    <w:rsid w:val="009048D3"/>
    <w:rsid w:val="00932F15"/>
    <w:rsid w:val="009413EB"/>
    <w:rsid w:val="00942708"/>
    <w:rsid w:val="0097007C"/>
    <w:rsid w:val="0097375C"/>
    <w:rsid w:val="009A4E40"/>
    <w:rsid w:val="009F668C"/>
    <w:rsid w:val="00A127B6"/>
    <w:rsid w:val="00A17AC8"/>
    <w:rsid w:val="00A37B2E"/>
    <w:rsid w:val="00A51492"/>
    <w:rsid w:val="00A52833"/>
    <w:rsid w:val="00A63654"/>
    <w:rsid w:val="00A67E3E"/>
    <w:rsid w:val="00A7078D"/>
    <w:rsid w:val="00A71FCD"/>
    <w:rsid w:val="00A81D30"/>
    <w:rsid w:val="00A837BD"/>
    <w:rsid w:val="00A87523"/>
    <w:rsid w:val="00AA6EFF"/>
    <w:rsid w:val="00AB51BB"/>
    <w:rsid w:val="00AE3565"/>
    <w:rsid w:val="00AEE749"/>
    <w:rsid w:val="00AF73AF"/>
    <w:rsid w:val="00B72E20"/>
    <w:rsid w:val="00B8553B"/>
    <w:rsid w:val="00B93517"/>
    <w:rsid w:val="00BA7332"/>
    <w:rsid w:val="00BE2D38"/>
    <w:rsid w:val="00BE2FF4"/>
    <w:rsid w:val="00BE74BF"/>
    <w:rsid w:val="00C2416A"/>
    <w:rsid w:val="00C50A44"/>
    <w:rsid w:val="00C52F98"/>
    <w:rsid w:val="00C54206"/>
    <w:rsid w:val="00CB6237"/>
    <w:rsid w:val="00CE7CEC"/>
    <w:rsid w:val="00D0554D"/>
    <w:rsid w:val="00D06AB8"/>
    <w:rsid w:val="00DB1F14"/>
    <w:rsid w:val="00DD0E46"/>
    <w:rsid w:val="00DD147A"/>
    <w:rsid w:val="00DD4C89"/>
    <w:rsid w:val="00DF0BBB"/>
    <w:rsid w:val="00E060E0"/>
    <w:rsid w:val="00E73097"/>
    <w:rsid w:val="00E8748F"/>
    <w:rsid w:val="00EB5AC6"/>
    <w:rsid w:val="00F32653"/>
    <w:rsid w:val="00FB1BDD"/>
    <w:rsid w:val="00FB767F"/>
    <w:rsid w:val="00FE3BBA"/>
    <w:rsid w:val="01FC8A63"/>
    <w:rsid w:val="026F4D21"/>
    <w:rsid w:val="0278C8E3"/>
    <w:rsid w:val="035593E3"/>
    <w:rsid w:val="04B2B8DD"/>
    <w:rsid w:val="05B9EAC2"/>
    <w:rsid w:val="0923BD46"/>
    <w:rsid w:val="0A49D0B0"/>
    <w:rsid w:val="0AF6020A"/>
    <w:rsid w:val="0EE11EE4"/>
    <w:rsid w:val="13203099"/>
    <w:rsid w:val="13E5FDDE"/>
    <w:rsid w:val="142E4359"/>
    <w:rsid w:val="155254F9"/>
    <w:rsid w:val="16419614"/>
    <w:rsid w:val="1666E123"/>
    <w:rsid w:val="181C4A53"/>
    <w:rsid w:val="18EA2938"/>
    <w:rsid w:val="19E3A918"/>
    <w:rsid w:val="1B22402C"/>
    <w:rsid w:val="1B7037E0"/>
    <w:rsid w:val="1C7F7FE5"/>
    <w:rsid w:val="1C942B09"/>
    <w:rsid w:val="1D28168E"/>
    <w:rsid w:val="1EC8BAB4"/>
    <w:rsid w:val="1EC92024"/>
    <w:rsid w:val="1EE36DBA"/>
    <w:rsid w:val="1F29D8F5"/>
    <w:rsid w:val="1F67152F"/>
    <w:rsid w:val="203EA7B1"/>
    <w:rsid w:val="2250ACBE"/>
    <w:rsid w:val="245655B4"/>
    <w:rsid w:val="26D50842"/>
    <w:rsid w:val="26F93918"/>
    <w:rsid w:val="29DCD323"/>
    <w:rsid w:val="29E813A2"/>
    <w:rsid w:val="2AAD6BDA"/>
    <w:rsid w:val="2BD42C94"/>
    <w:rsid w:val="2E15CD8C"/>
    <w:rsid w:val="2E5F4735"/>
    <w:rsid w:val="2FF83B76"/>
    <w:rsid w:val="30D64812"/>
    <w:rsid w:val="347F7DF5"/>
    <w:rsid w:val="35D708A2"/>
    <w:rsid w:val="36646B11"/>
    <w:rsid w:val="36C8BA59"/>
    <w:rsid w:val="37D022FC"/>
    <w:rsid w:val="397561E3"/>
    <w:rsid w:val="39812D14"/>
    <w:rsid w:val="39B9E9E1"/>
    <w:rsid w:val="39C8FF05"/>
    <w:rsid w:val="39F561F1"/>
    <w:rsid w:val="3AF2AF2D"/>
    <w:rsid w:val="3AFE294C"/>
    <w:rsid w:val="3B7FA7D1"/>
    <w:rsid w:val="3CB59B84"/>
    <w:rsid w:val="433EDF11"/>
    <w:rsid w:val="45CABA8A"/>
    <w:rsid w:val="4617CC0E"/>
    <w:rsid w:val="476E0E08"/>
    <w:rsid w:val="480835FC"/>
    <w:rsid w:val="4915E882"/>
    <w:rsid w:val="496CCC31"/>
    <w:rsid w:val="49725D69"/>
    <w:rsid w:val="4A4C97B8"/>
    <w:rsid w:val="4E0929B1"/>
    <w:rsid w:val="4F5B9FB3"/>
    <w:rsid w:val="5030D852"/>
    <w:rsid w:val="5064F59A"/>
    <w:rsid w:val="51D1E5A0"/>
    <w:rsid w:val="51E8EC07"/>
    <w:rsid w:val="52C63E98"/>
    <w:rsid w:val="548DB210"/>
    <w:rsid w:val="54F27B9B"/>
    <w:rsid w:val="5680908A"/>
    <w:rsid w:val="5687485D"/>
    <w:rsid w:val="56B1D13C"/>
    <w:rsid w:val="5715DDE8"/>
    <w:rsid w:val="57A538A2"/>
    <w:rsid w:val="597B6817"/>
    <w:rsid w:val="59CF9880"/>
    <w:rsid w:val="5B25BCD2"/>
    <w:rsid w:val="5B9549E6"/>
    <w:rsid w:val="5CEB559A"/>
    <w:rsid w:val="5D311A47"/>
    <w:rsid w:val="5E568AD0"/>
    <w:rsid w:val="605F6B2B"/>
    <w:rsid w:val="60A0F464"/>
    <w:rsid w:val="617CC709"/>
    <w:rsid w:val="64B467CB"/>
    <w:rsid w:val="67E3881E"/>
    <w:rsid w:val="68736847"/>
    <w:rsid w:val="696110B8"/>
    <w:rsid w:val="69CBA0ED"/>
    <w:rsid w:val="6B23A94F"/>
    <w:rsid w:val="6BECDDDF"/>
    <w:rsid w:val="6C385ADF"/>
    <w:rsid w:val="6DD42B40"/>
    <w:rsid w:val="6E051FB4"/>
    <w:rsid w:val="6E1AB731"/>
    <w:rsid w:val="6FEA345B"/>
    <w:rsid w:val="701D8310"/>
    <w:rsid w:val="708B5A1A"/>
    <w:rsid w:val="70D27B16"/>
    <w:rsid w:val="71C35906"/>
    <w:rsid w:val="71EC1E02"/>
    <w:rsid w:val="726B5BEC"/>
    <w:rsid w:val="728F11BF"/>
    <w:rsid w:val="732E77F8"/>
    <w:rsid w:val="7419FDB8"/>
    <w:rsid w:val="74BF2A84"/>
    <w:rsid w:val="752A3DDA"/>
    <w:rsid w:val="75310D98"/>
    <w:rsid w:val="77E504BD"/>
    <w:rsid w:val="7999B7D5"/>
    <w:rsid w:val="7ABF558D"/>
    <w:rsid w:val="7BC4B7C2"/>
    <w:rsid w:val="7CA9A841"/>
    <w:rsid w:val="7CCEBE5A"/>
    <w:rsid w:val="7D05E766"/>
    <w:rsid w:val="7DDB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3035"/>
  <w15:docId w15:val="{40C2F387-BABD-4EDA-9190-23C4C150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93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160" w:after="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80" w:after="0"/>
      <w:outlineLvl w:val="1"/>
    </w:pPr>
    <w:rPr>
      <w:b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after="0" w:line="240" w:lineRule="auto"/>
    </w:pPr>
    <w:rPr>
      <w:sz w:val="48"/>
      <w:szCs w:val="48"/>
    </w:rPr>
  </w:style>
  <w:style w:type="paragraph" w:styleId="Podnadpis">
    <w:name w:val="Subtitle"/>
    <w:basedOn w:val="Normln"/>
    <w:next w:val="Normln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595959"/>
      <w:sz w:val="28"/>
      <w:szCs w:val="28"/>
    </w:rPr>
  </w:style>
  <w:style w:type="table" w:customStyle="1" w:styleId="a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Normlntabulka"/>
    <w:pPr>
      <w:spacing w:after="0" w:line="240" w:lineRule="auto"/>
    </w:pPr>
    <w:tblPr>
      <w:tblStyleRowBandSize w:val="1"/>
      <w:tblStyleColBandSize w:val="1"/>
    </w:tblPr>
  </w:style>
  <w:style w:type="character" w:styleId="Odkaznakoment">
    <w:name w:val="annotation reference"/>
    <w:basedOn w:val="Standardnpsmoodstavce"/>
    <w:uiPriority w:val="99"/>
    <w:semiHidden/>
    <w:unhideWhenUsed/>
    <w:rsid w:val="006030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30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30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30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30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3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308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092C"/>
    <w:pPr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07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07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7007C"/>
    <w:rPr>
      <w:vertAlign w:val="superscript"/>
    </w:rPr>
  </w:style>
  <w:style w:type="paragraph" w:styleId="Normlnweb">
    <w:name w:val="Normal (Web)"/>
    <w:basedOn w:val="Normln"/>
    <w:uiPriority w:val="99"/>
    <w:unhideWhenUsed/>
    <w:rsid w:val="00973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Odrka">
    <w:name w:val="Odrážka"/>
    <w:basedOn w:val="Normln"/>
    <w:link w:val="OdrkaChar"/>
    <w:qFormat/>
    <w:rsid w:val="7D05E766"/>
    <w:pPr>
      <w:ind w:left="720" w:hanging="360"/>
      <w:contextualSpacing/>
      <w:jc w:val="both"/>
    </w:pPr>
    <w:rPr>
      <w:color w:val="000000" w:themeColor="text1"/>
      <w:sz w:val="20"/>
      <w:szCs w:val="20"/>
    </w:rPr>
  </w:style>
  <w:style w:type="character" w:customStyle="1" w:styleId="OdrkaChar">
    <w:name w:val="Odrážka Char"/>
    <w:basedOn w:val="Standardnpsmoodstavce"/>
    <w:link w:val="Odrka"/>
    <w:rsid w:val="7D05E766"/>
    <w:rPr>
      <w:color w:val="000000" w:themeColor="text1"/>
      <w:sz w:val="20"/>
      <w:szCs w:val="20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4" ma:contentTypeDescription="Vytvoří nový dokument" ma:contentTypeScope="" ma:versionID="3315f90b68d7ff528cae1b4173dfaf0c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48231d5730ab131bd6474186d360d693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0BE88E-AFF6-4FF0-B646-D77AA85848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98AFE0-C569-4D56-9AFD-B9F8DCC6D0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D2E756-F053-4C88-8D0E-3576A2C7C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7672BC-4B06-45B7-B3FF-A7C2112E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C1D8402A.dotm</Template>
  <TotalTime>1</TotalTime>
  <Pages>36</Pages>
  <Words>14391</Words>
  <Characters>84910</Characters>
  <Application>Microsoft Office Word</Application>
  <DocSecurity>0</DocSecurity>
  <Lines>707</Lines>
  <Paragraphs>198</Paragraphs>
  <ScaleCrop>false</ScaleCrop>
  <Company>Ministerstvo průmyslu a obchodu</Company>
  <LinksUpToDate>false</LinksUpToDate>
  <CharactersWithSpaces>99103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Všetečka Daniel</dc:creator>
  <cp:lastModifiedBy>Hronza Martin</cp:lastModifiedBy>
  <cp:revision>11</cp:revision>
  <dcterms:created xsi:type="dcterms:W3CDTF">2021-05-14T07:55:00Z</dcterms:created>
  <dcterms:modified xsi:type="dcterms:W3CDTF">2021-05-14T20:42:00Z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0x010100FD6AFFD6CE014942BF86BBEEBCBDDF03</vt:lpwstr>
  </property>
  <property fmtid="{D5CDD505-2E9C-101B-9397-08002B2CF9AE}" pid="3" name="ClassificationContentMarkingHeaderShapeIds">
    <vt:lpwstr>1,3,4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8b1b3805-f150-44c8-a15d-a6d132d9fbfb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2021-05-14T07:55:27Z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