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DE2B2" w14:textId="77777777" w:rsidR="00C42CDB" w:rsidRPr="005943AD" w:rsidRDefault="00C42CDB" w:rsidP="002D392C">
      <w:pPr>
        <w:pStyle w:val="K-nzev"/>
        <w:rPr>
          <w:szCs w:val="20"/>
        </w:rPr>
      </w:pPr>
      <w:bookmarkStart w:id="0" w:name="_Toc68888766"/>
      <w:r w:rsidRPr="005943AD">
        <w:rPr>
          <w:szCs w:val="20"/>
        </w:rPr>
        <w:t>1.2 Digitální systémy veřejné správy (MV)</w:t>
      </w:r>
      <w:bookmarkEnd w:id="0"/>
      <w:r w:rsidRPr="005943AD">
        <w:rPr>
          <w:szCs w:val="20"/>
        </w:rPr>
        <w:t xml:space="preserve"> </w:t>
      </w:r>
    </w:p>
    <w:p w14:paraId="55FE9EB4" w14:textId="3A847F7D" w:rsidR="00C42CDB" w:rsidRPr="00535CE0" w:rsidRDefault="00C42CDB" w:rsidP="00725693">
      <w:pPr>
        <w:pStyle w:val="K-1"/>
        <w:rPr>
          <w:sz w:val="20"/>
          <w:szCs w:val="20"/>
        </w:rPr>
      </w:pPr>
      <w:r w:rsidRPr="00535CE0">
        <w:rPr>
          <w:sz w:val="20"/>
          <w:szCs w:val="20"/>
        </w:rPr>
        <w:t>1. Popis komponenty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C7DC5" w:rsidRPr="00535CE0" w14:paraId="5B54D3A2" w14:textId="77777777" w:rsidTr="00AC7DC5">
        <w:tc>
          <w:tcPr>
            <w:tcW w:w="9062" w:type="dxa"/>
          </w:tcPr>
          <w:p w14:paraId="1799D820" w14:textId="77777777" w:rsidR="00AC7DC5" w:rsidRPr="00535CE0" w:rsidRDefault="00AC7DC5" w:rsidP="00AC7DC5">
            <w:pPr>
              <w:rPr>
                <w:rFonts w:cstheme="minorHAnsi"/>
                <w:b/>
                <w:szCs w:val="20"/>
              </w:rPr>
            </w:pPr>
            <w:r w:rsidRPr="00535CE0">
              <w:rPr>
                <w:rFonts w:cstheme="minorHAnsi"/>
                <w:b/>
                <w:szCs w:val="20"/>
              </w:rPr>
              <w:t>Digitální systémy veřejné správy</w:t>
            </w:r>
          </w:p>
          <w:p w14:paraId="216A0418" w14:textId="77777777" w:rsidR="00AC7DC5" w:rsidRPr="00535CE0" w:rsidRDefault="00AC7DC5" w:rsidP="00AC7DC5">
            <w:pPr>
              <w:rPr>
                <w:rFonts w:cstheme="minorHAnsi"/>
                <w:szCs w:val="20"/>
              </w:rPr>
            </w:pPr>
            <w:r w:rsidRPr="00535CE0">
              <w:rPr>
                <w:rFonts w:cstheme="minorHAnsi"/>
                <w:b/>
                <w:szCs w:val="20"/>
              </w:rPr>
              <w:t xml:space="preserve">Oblast politiky: </w:t>
            </w:r>
            <w:r w:rsidRPr="00535CE0">
              <w:rPr>
                <w:rFonts w:cstheme="minorHAnsi"/>
                <w:szCs w:val="20"/>
              </w:rPr>
              <w:t xml:space="preserve">Digitalizace, </w:t>
            </w:r>
            <w:proofErr w:type="spellStart"/>
            <w:r w:rsidRPr="00535CE0">
              <w:rPr>
                <w:rFonts w:cstheme="minorHAnsi"/>
                <w:szCs w:val="20"/>
              </w:rPr>
              <w:t>eGovernment</w:t>
            </w:r>
            <w:proofErr w:type="spellEnd"/>
            <w:r w:rsidRPr="00535CE0">
              <w:rPr>
                <w:rFonts w:cstheme="minorHAnsi"/>
                <w:szCs w:val="20"/>
              </w:rPr>
              <w:t>, veřejná správa</w:t>
            </w:r>
          </w:p>
          <w:p w14:paraId="5173A4FB" w14:textId="77777777" w:rsidR="00AC7DC5" w:rsidRPr="00535CE0" w:rsidRDefault="00AC7DC5" w:rsidP="00AC7DC5">
            <w:pPr>
              <w:rPr>
                <w:rFonts w:cstheme="minorHAnsi"/>
                <w:b/>
                <w:szCs w:val="20"/>
              </w:rPr>
            </w:pPr>
            <w:r w:rsidRPr="00535CE0">
              <w:rPr>
                <w:rFonts w:cstheme="minorHAnsi"/>
                <w:b/>
                <w:szCs w:val="20"/>
              </w:rPr>
              <w:t xml:space="preserve">Cíl: </w:t>
            </w:r>
          </w:p>
          <w:p w14:paraId="5C8D1E21" w14:textId="77777777" w:rsidR="00AC7DC5" w:rsidRPr="00535CE0" w:rsidRDefault="00AC7DC5" w:rsidP="00AC7DC5">
            <w:pPr>
              <w:rPr>
                <w:rFonts w:cstheme="minorHAnsi"/>
                <w:szCs w:val="20"/>
              </w:rPr>
            </w:pPr>
            <w:r w:rsidRPr="00535CE0">
              <w:rPr>
                <w:rFonts w:cstheme="minorHAnsi"/>
                <w:szCs w:val="20"/>
              </w:rPr>
              <w:t>Vytvořit efektivní prostředí pro digitalizaci agend vykonávaných veřejnou správou (a zdravotnictvím jako komplexním oborem ekonomiky financovaným především z veřejných zdrojů), a to především z pohledu:</w:t>
            </w:r>
          </w:p>
          <w:p w14:paraId="2CC9B5E0" w14:textId="5FFB0459" w:rsidR="00AC7DC5" w:rsidRPr="00535CE0" w:rsidRDefault="00AC7DC5" w:rsidP="00AC7DC5">
            <w:pPr>
              <w:rPr>
                <w:rFonts w:cstheme="minorHAnsi"/>
                <w:szCs w:val="20"/>
              </w:rPr>
            </w:pPr>
            <w:r w:rsidRPr="00535CE0">
              <w:rPr>
                <w:rFonts w:cstheme="minorHAnsi"/>
                <w:szCs w:val="20"/>
              </w:rPr>
              <w:t>Sdílení dat mezi jednotlivými systémy (orgány a institucemi) prostřednictvím základních registrů, propojeného datového fondu a Informačního systému sdílené služby (</w:t>
            </w:r>
            <w:proofErr w:type="spellStart"/>
            <w:r w:rsidRPr="00535CE0">
              <w:rPr>
                <w:rFonts w:cstheme="minorHAnsi"/>
                <w:szCs w:val="20"/>
              </w:rPr>
              <w:t>eGovernment</w:t>
            </w:r>
            <w:proofErr w:type="spellEnd"/>
            <w:r w:rsidRPr="00535CE0">
              <w:rPr>
                <w:rFonts w:cstheme="minorHAnsi"/>
                <w:szCs w:val="20"/>
              </w:rPr>
              <w:t xml:space="preserve"> </w:t>
            </w:r>
            <w:proofErr w:type="spellStart"/>
            <w:r w:rsidRPr="00535CE0">
              <w:rPr>
                <w:rFonts w:cstheme="minorHAnsi"/>
                <w:szCs w:val="20"/>
              </w:rPr>
              <w:t>S</w:t>
            </w:r>
            <w:r w:rsidR="004C71E4">
              <w:rPr>
                <w:rFonts w:cstheme="minorHAnsi"/>
                <w:szCs w:val="20"/>
              </w:rPr>
              <w:t>ervice</w:t>
            </w:r>
            <w:proofErr w:type="spellEnd"/>
            <w:r w:rsidR="004C71E4">
              <w:rPr>
                <w:rFonts w:cstheme="minorHAnsi"/>
                <w:szCs w:val="20"/>
              </w:rPr>
              <w:t xml:space="preserve"> </w:t>
            </w:r>
            <w:r w:rsidRPr="00535CE0">
              <w:rPr>
                <w:rFonts w:cstheme="minorHAnsi"/>
                <w:szCs w:val="20"/>
              </w:rPr>
              <w:t>Bus),</w:t>
            </w:r>
          </w:p>
          <w:p w14:paraId="51531CB4" w14:textId="77777777" w:rsidR="00AC7DC5" w:rsidRPr="00535CE0" w:rsidRDefault="00AC7DC5" w:rsidP="00AC7DC5">
            <w:pPr>
              <w:rPr>
                <w:rFonts w:cstheme="minorHAnsi"/>
                <w:szCs w:val="20"/>
              </w:rPr>
            </w:pPr>
            <w:r w:rsidRPr="00535CE0">
              <w:rPr>
                <w:rFonts w:cstheme="minorHAnsi"/>
                <w:szCs w:val="20"/>
              </w:rPr>
              <w:t xml:space="preserve">Vytvoření či rozvoj stávajících či nových funkcionalit </w:t>
            </w:r>
            <w:proofErr w:type="spellStart"/>
            <w:r w:rsidRPr="00535CE0">
              <w:rPr>
                <w:rFonts w:cstheme="minorHAnsi"/>
                <w:szCs w:val="20"/>
              </w:rPr>
              <w:t>backendových</w:t>
            </w:r>
            <w:proofErr w:type="spellEnd"/>
            <w:r w:rsidRPr="00535CE0">
              <w:rPr>
                <w:rFonts w:cstheme="minorHAnsi"/>
                <w:szCs w:val="20"/>
              </w:rPr>
              <w:t xml:space="preserve"> informačních systémů jednotlivých orgánů a institucí, které slouží především k vlastnímu výkonu agend. Hlavní důraz je zde kladen na vzájemnou spolupráci umožňující vyšší míru vnitřní digitalizace úřadů a institucí,</w:t>
            </w:r>
          </w:p>
          <w:p w14:paraId="7C81066B" w14:textId="77777777" w:rsidR="00AC7DC5" w:rsidRPr="00535CE0" w:rsidRDefault="00AC7DC5" w:rsidP="00AC7DC5">
            <w:pPr>
              <w:rPr>
                <w:rFonts w:cstheme="minorHAnsi"/>
                <w:szCs w:val="20"/>
              </w:rPr>
            </w:pPr>
            <w:r w:rsidRPr="00535CE0">
              <w:rPr>
                <w:rFonts w:cstheme="minorHAnsi"/>
                <w:szCs w:val="20"/>
              </w:rPr>
              <w:t>Kybernetické bezpečnosti vybraných centrálních orgánů a poskytovatelů zdravotnických služeb především v regionu Prahy,</w:t>
            </w:r>
          </w:p>
          <w:p w14:paraId="7CE03FB0" w14:textId="77777777" w:rsidR="00AC7DC5" w:rsidRPr="00535CE0" w:rsidRDefault="00AC7DC5" w:rsidP="00AC7DC5">
            <w:pPr>
              <w:rPr>
                <w:rFonts w:cstheme="minorHAnsi"/>
                <w:szCs w:val="20"/>
              </w:rPr>
            </w:pPr>
            <w:r w:rsidRPr="00535CE0">
              <w:rPr>
                <w:rFonts w:cstheme="minorHAnsi"/>
                <w:szCs w:val="20"/>
              </w:rPr>
              <w:t>Sdílení znalostí, kompetencí, metodik a standardů poskytovaných prostřednictvím kompetenčních center vč. jejich přenosu na jednotlivé úřady a instituce.</w:t>
            </w:r>
          </w:p>
          <w:p w14:paraId="41F836DA" w14:textId="6F15FA6F" w:rsidR="00AC7DC5" w:rsidRPr="00535CE0" w:rsidRDefault="00AC7DC5" w:rsidP="00AC7DC5">
            <w:pPr>
              <w:rPr>
                <w:rFonts w:cstheme="minorHAnsi"/>
                <w:b/>
                <w:szCs w:val="20"/>
              </w:rPr>
            </w:pPr>
            <w:r w:rsidRPr="00535CE0">
              <w:rPr>
                <w:rFonts w:cstheme="minorHAnsi"/>
                <w:b/>
                <w:szCs w:val="20"/>
              </w:rPr>
              <w:t xml:space="preserve">Reformy a investice: </w:t>
            </w:r>
          </w:p>
          <w:p w14:paraId="39356C10" w14:textId="5FD440BE" w:rsidR="00AC7DC5" w:rsidRPr="00535CE0" w:rsidRDefault="00AC7DC5" w:rsidP="00AC7DC5">
            <w:pPr>
              <w:rPr>
                <w:rFonts w:cstheme="minorHAnsi"/>
                <w:i/>
                <w:szCs w:val="20"/>
              </w:rPr>
            </w:pPr>
            <w:r w:rsidRPr="00535CE0">
              <w:rPr>
                <w:rFonts w:cstheme="minorHAnsi"/>
                <w:i/>
                <w:szCs w:val="20"/>
              </w:rPr>
              <w:t>Reformy</w:t>
            </w:r>
          </w:p>
          <w:p w14:paraId="5F25153F" w14:textId="319269CF" w:rsidR="00AC7DC5" w:rsidRPr="00535CE0" w:rsidRDefault="00AC7DC5" w:rsidP="00AC7DC5">
            <w:pPr>
              <w:pStyle w:val="Odrka"/>
              <w:rPr>
                <w:rFonts w:cstheme="minorHAnsi"/>
                <w:szCs w:val="20"/>
              </w:rPr>
            </w:pPr>
            <w:r w:rsidRPr="00535CE0">
              <w:rPr>
                <w:rFonts w:cstheme="minorHAnsi"/>
                <w:szCs w:val="20"/>
              </w:rPr>
              <w:t xml:space="preserve">Kompetenční centra pro podporu </w:t>
            </w:r>
            <w:proofErr w:type="spellStart"/>
            <w:r w:rsidRPr="00535CE0">
              <w:rPr>
                <w:rFonts w:cstheme="minorHAnsi"/>
                <w:szCs w:val="20"/>
              </w:rPr>
              <w:t>eGovernmentu</w:t>
            </w:r>
            <w:proofErr w:type="spellEnd"/>
            <w:r w:rsidRPr="00535CE0">
              <w:rPr>
                <w:rFonts w:cstheme="minorHAnsi"/>
                <w:szCs w:val="20"/>
              </w:rPr>
              <w:t xml:space="preserve"> a elektronizace zdravotnictví (COFOG 01.60)</w:t>
            </w:r>
          </w:p>
          <w:p w14:paraId="3D0E3577" w14:textId="290CC6B7" w:rsidR="00AC7DC5" w:rsidRPr="00535CE0" w:rsidRDefault="00AC7DC5" w:rsidP="00AC7DC5">
            <w:pPr>
              <w:pStyle w:val="Odrka"/>
              <w:rPr>
                <w:rFonts w:cstheme="minorHAnsi"/>
                <w:szCs w:val="20"/>
              </w:rPr>
            </w:pPr>
            <w:r w:rsidRPr="00535CE0">
              <w:rPr>
                <w:rFonts w:cstheme="minorHAnsi"/>
                <w:szCs w:val="20"/>
              </w:rPr>
              <w:t>Budování a rozvoj systémů podporujících elektronizaci zdravotnictví (COFOG 0</w:t>
            </w:r>
            <w:r w:rsidR="00EB6791">
              <w:rPr>
                <w:rFonts w:cstheme="minorHAnsi"/>
                <w:szCs w:val="20"/>
              </w:rPr>
              <w:t>7</w:t>
            </w:r>
            <w:r w:rsidRPr="00535CE0">
              <w:rPr>
                <w:rFonts w:cstheme="minorHAnsi"/>
                <w:szCs w:val="20"/>
              </w:rPr>
              <w:t>.60)</w:t>
            </w:r>
          </w:p>
          <w:p w14:paraId="02601ECA" w14:textId="31975B06" w:rsidR="00AC7DC5" w:rsidRPr="00535CE0" w:rsidRDefault="00AC7DC5" w:rsidP="00AC7DC5">
            <w:pPr>
              <w:rPr>
                <w:rFonts w:cstheme="minorHAnsi"/>
                <w:i/>
                <w:szCs w:val="20"/>
              </w:rPr>
            </w:pPr>
            <w:r w:rsidRPr="00535CE0">
              <w:rPr>
                <w:rFonts w:cstheme="minorHAnsi"/>
                <w:i/>
                <w:szCs w:val="20"/>
              </w:rPr>
              <w:t>Investice</w:t>
            </w:r>
          </w:p>
          <w:p w14:paraId="1215E1F2" w14:textId="7F63EB76" w:rsidR="00AC7DC5" w:rsidRPr="00535CE0" w:rsidRDefault="00AC7DC5" w:rsidP="00AC7DC5">
            <w:pPr>
              <w:pStyle w:val="Odrka"/>
              <w:rPr>
                <w:rFonts w:cstheme="minorHAnsi"/>
                <w:szCs w:val="20"/>
              </w:rPr>
            </w:pPr>
            <w:bookmarkStart w:id="1" w:name="_Hlk68445358"/>
            <w:r w:rsidRPr="00535CE0">
              <w:rPr>
                <w:rFonts w:cstheme="minorHAnsi"/>
                <w:szCs w:val="20"/>
              </w:rPr>
              <w:t xml:space="preserve">Budování a rozvoj </w:t>
            </w:r>
            <w:proofErr w:type="spellStart"/>
            <w:r w:rsidRPr="00535CE0">
              <w:rPr>
                <w:rFonts w:cstheme="minorHAnsi"/>
                <w:szCs w:val="20"/>
              </w:rPr>
              <w:t>agendových</w:t>
            </w:r>
            <w:proofErr w:type="spellEnd"/>
            <w:r w:rsidRPr="00535CE0">
              <w:rPr>
                <w:rFonts w:cstheme="minorHAnsi"/>
                <w:szCs w:val="20"/>
              </w:rPr>
              <w:t xml:space="preserve"> informačních systémů (COFOG 01.60)</w:t>
            </w:r>
          </w:p>
          <w:p w14:paraId="79C8F2C6" w14:textId="7F1344AE" w:rsidR="00AC7DC5" w:rsidRPr="00535CE0" w:rsidRDefault="00AC7DC5" w:rsidP="00AC7DC5">
            <w:pPr>
              <w:pStyle w:val="Odrka"/>
              <w:rPr>
                <w:rFonts w:cstheme="minorHAnsi"/>
                <w:szCs w:val="20"/>
              </w:rPr>
            </w:pPr>
            <w:r w:rsidRPr="00535CE0">
              <w:rPr>
                <w:rFonts w:cstheme="minorHAnsi"/>
                <w:szCs w:val="20"/>
              </w:rPr>
              <w:t xml:space="preserve">Budování a rozvoj základních registrů a zázemí pro </w:t>
            </w:r>
            <w:proofErr w:type="spellStart"/>
            <w:r w:rsidRPr="00535CE0">
              <w:rPr>
                <w:rFonts w:cstheme="minorHAnsi"/>
                <w:szCs w:val="20"/>
              </w:rPr>
              <w:t>eGovernment</w:t>
            </w:r>
            <w:proofErr w:type="spellEnd"/>
            <w:r w:rsidRPr="00535CE0">
              <w:rPr>
                <w:rFonts w:cstheme="minorHAnsi"/>
                <w:szCs w:val="20"/>
              </w:rPr>
              <w:t xml:space="preserve"> (COFOG 01.60)</w:t>
            </w:r>
          </w:p>
          <w:p w14:paraId="2D16880C" w14:textId="7848EB9D" w:rsidR="00AC7DC5" w:rsidRPr="00535CE0" w:rsidRDefault="00AC7DC5" w:rsidP="00AC7DC5">
            <w:pPr>
              <w:pStyle w:val="Odrka"/>
              <w:rPr>
                <w:rFonts w:cstheme="minorHAnsi"/>
                <w:szCs w:val="20"/>
              </w:rPr>
            </w:pPr>
            <w:r w:rsidRPr="00535CE0">
              <w:rPr>
                <w:rFonts w:cstheme="minorHAnsi"/>
                <w:szCs w:val="20"/>
              </w:rPr>
              <w:t>Kybernetická bezpečnost (COFOG 01.60)</w:t>
            </w:r>
          </w:p>
          <w:p w14:paraId="0E94CABE" w14:textId="6A3018E5" w:rsidR="00AC7DC5" w:rsidRPr="00535CE0" w:rsidRDefault="00AC7DC5" w:rsidP="00AC7DC5">
            <w:pPr>
              <w:pStyle w:val="Odrka"/>
              <w:rPr>
                <w:rFonts w:cstheme="minorHAnsi"/>
                <w:szCs w:val="20"/>
              </w:rPr>
            </w:pPr>
            <w:r w:rsidRPr="00535CE0">
              <w:rPr>
                <w:rFonts w:cstheme="minorHAnsi"/>
                <w:szCs w:val="20"/>
              </w:rPr>
              <w:t>Vytvoření předpokladů pro digitální justici (COFOG 0</w:t>
            </w:r>
            <w:r w:rsidR="00EB6791">
              <w:rPr>
                <w:rFonts w:cstheme="minorHAnsi"/>
                <w:szCs w:val="20"/>
              </w:rPr>
              <w:t>3</w:t>
            </w:r>
            <w:r w:rsidRPr="00535CE0">
              <w:rPr>
                <w:rFonts w:cstheme="minorHAnsi"/>
                <w:szCs w:val="20"/>
              </w:rPr>
              <w:t>.60)</w:t>
            </w:r>
          </w:p>
          <w:bookmarkEnd w:id="1"/>
          <w:p w14:paraId="048A6EE3" w14:textId="77777777" w:rsidR="00AC7DC5" w:rsidRPr="00535CE0" w:rsidRDefault="00AC7DC5" w:rsidP="00AC7DC5">
            <w:pPr>
              <w:rPr>
                <w:rFonts w:cstheme="minorHAnsi"/>
                <w:b/>
                <w:szCs w:val="20"/>
              </w:rPr>
            </w:pPr>
            <w:r w:rsidRPr="00535CE0">
              <w:rPr>
                <w:rFonts w:cstheme="minorHAnsi"/>
                <w:b/>
                <w:szCs w:val="20"/>
              </w:rPr>
              <w:t xml:space="preserve">Odhadované náklady: </w:t>
            </w:r>
          </w:p>
          <w:p w14:paraId="22957922" w14:textId="32873F44" w:rsidR="00AC7DC5" w:rsidRPr="00535CE0" w:rsidRDefault="003C5414" w:rsidP="00AC7DC5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7133</w:t>
            </w:r>
            <w:r w:rsidR="001C617E">
              <w:rPr>
                <w:rFonts w:cstheme="minorHAnsi"/>
                <w:szCs w:val="20"/>
              </w:rPr>
              <w:t>,16</w:t>
            </w:r>
            <w:r w:rsidR="00AC7DC5" w:rsidRPr="00535CE0">
              <w:rPr>
                <w:rFonts w:cstheme="minorHAnsi"/>
                <w:szCs w:val="20"/>
              </w:rPr>
              <w:t xml:space="preserve"> mil. Kč.</w:t>
            </w:r>
          </w:p>
        </w:tc>
      </w:tr>
    </w:tbl>
    <w:p w14:paraId="6A153638" w14:textId="77777777" w:rsidR="00C42CDB" w:rsidRPr="00535CE0" w:rsidRDefault="00C42CDB" w:rsidP="002F5C22">
      <w:pPr>
        <w:pStyle w:val="K-Nadpis3"/>
        <w:rPr>
          <w:rFonts w:asciiTheme="minorHAnsi" w:hAnsiTheme="minorHAnsi" w:cstheme="minorHAnsi"/>
          <w:sz w:val="20"/>
          <w:szCs w:val="20"/>
        </w:rPr>
      </w:pPr>
    </w:p>
    <w:p w14:paraId="5C9AC2A6" w14:textId="2CF77B6F" w:rsidR="00C42CDB" w:rsidRPr="00535CE0" w:rsidRDefault="00C42CDB" w:rsidP="00C04D0C">
      <w:pPr>
        <w:rPr>
          <w:rFonts w:cstheme="minorHAnsi"/>
          <w:szCs w:val="20"/>
        </w:rPr>
      </w:pPr>
      <w:r w:rsidRPr="00535CE0">
        <w:rPr>
          <w:rFonts w:cstheme="minorHAnsi"/>
          <w:szCs w:val="20"/>
        </w:rPr>
        <w:t>Komponenta se primárně zaměřuje na úřady vykonávající veřejnou správu na centrální i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lokální úrovni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podporuje práci jednotlivých úředníků,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to jak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oblasti služeb klientům, kdy zajišťuje digitální odbavení klienta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rámci interních informačních systémů, tak i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zajištění vnitřního fungování úřadu. Souběžně pak vytváří předpoklady pro realizaci komponenty Digitální služby pro občany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firmy. Základními předpoklady pro realizaci komponenty je rozvoj základních registrů (a zdravotnických registrů)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propojeného datového fondu umožňující on-line přístup k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informacím o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občanovi či podnikateli, které se vyskytují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informačních systémech státu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tom nejširším možném kontextu, ale při zachování bezpečnostních rolí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 xml:space="preserve">oprávnění pro jednotlivé úředníky. </w:t>
      </w:r>
    </w:p>
    <w:p w14:paraId="382A5184" w14:textId="6A04EA8E" w:rsidR="00C42CDB" w:rsidRPr="00535CE0" w:rsidRDefault="00C42CDB" w:rsidP="00C04D0C">
      <w:pPr>
        <w:rPr>
          <w:rFonts w:cstheme="minorHAnsi"/>
          <w:szCs w:val="20"/>
        </w:rPr>
      </w:pPr>
      <w:r w:rsidRPr="00535CE0">
        <w:rPr>
          <w:rFonts w:cstheme="minorHAnsi"/>
          <w:szCs w:val="20"/>
        </w:rPr>
        <w:t>Součástí komponenty je i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vytvoření realizačního prostředí pro úspěšné dokončení jednotlivých programů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projektů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podobě vybudování nového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rozvoje stávajících kompetenčních center. Zároveň dojde k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vyšší standardizaci vykonávaných agend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rámci přenesené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lokální působnosti.</w:t>
      </w:r>
    </w:p>
    <w:p w14:paraId="4A860E6B" w14:textId="64B285D4" w:rsidR="00C42CDB" w:rsidRPr="00535CE0" w:rsidRDefault="00C42CDB" w:rsidP="00C04D0C">
      <w:pPr>
        <w:rPr>
          <w:rFonts w:cstheme="minorHAnsi"/>
          <w:szCs w:val="20"/>
        </w:rPr>
      </w:pPr>
      <w:r w:rsidRPr="00535CE0">
        <w:rPr>
          <w:rFonts w:cstheme="minorHAnsi"/>
          <w:szCs w:val="20"/>
        </w:rPr>
        <w:t>Vytvoření propojeného datového fondu a</w:t>
      </w:r>
      <w:r w:rsidR="00EE51EC" w:rsidRPr="00535CE0">
        <w:rPr>
          <w:rFonts w:cstheme="minorHAnsi"/>
          <w:szCs w:val="20"/>
        </w:rPr>
        <w:t> </w:t>
      </w:r>
      <w:proofErr w:type="spellStart"/>
      <w:r w:rsidRPr="00535CE0">
        <w:rPr>
          <w:rFonts w:cstheme="minorHAnsi"/>
          <w:szCs w:val="20"/>
        </w:rPr>
        <w:t>eGovernment</w:t>
      </w:r>
      <w:proofErr w:type="spellEnd"/>
      <w:r w:rsidRPr="00535CE0">
        <w:rPr>
          <w:rFonts w:cstheme="minorHAnsi"/>
          <w:szCs w:val="20"/>
        </w:rPr>
        <w:t xml:space="preserve"> </w:t>
      </w:r>
      <w:proofErr w:type="spellStart"/>
      <w:r w:rsidRPr="00535CE0">
        <w:rPr>
          <w:rFonts w:cstheme="minorHAnsi"/>
          <w:szCs w:val="20"/>
        </w:rPr>
        <w:t>Service</w:t>
      </w:r>
      <w:proofErr w:type="spellEnd"/>
      <w:r w:rsidRPr="00535CE0">
        <w:rPr>
          <w:rFonts w:cstheme="minorHAnsi"/>
          <w:szCs w:val="20"/>
        </w:rPr>
        <w:t xml:space="preserve"> Bus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rámci této komponenty bude spočívat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 xml:space="preserve">generační obměně </w:t>
      </w:r>
      <w:proofErr w:type="spellStart"/>
      <w:r w:rsidRPr="00535CE0">
        <w:rPr>
          <w:rFonts w:cstheme="minorHAnsi"/>
          <w:szCs w:val="20"/>
        </w:rPr>
        <w:t>eGovernment</w:t>
      </w:r>
      <w:proofErr w:type="spellEnd"/>
      <w:r w:rsidRPr="00535CE0">
        <w:rPr>
          <w:rFonts w:cstheme="minorHAnsi"/>
          <w:szCs w:val="20"/>
        </w:rPr>
        <w:t xml:space="preserve"> </w:t>
      </w:r>
      <w:proofErr w:type="spellStart"/>
      <w:r w:rsidRPr="00535CE0">
        <w:rPr>
          <w:rFonts w:cstheme="minorHAnsi"/>
          <w:szCs w:val="20"/>
        </w:rPr>
        <w:t>Service</w:t>
      </w:r>
      <w:proofErr w:type="spellEnd"/>
      <w:r w:rsidRPr="00535CE0">
        <w:rPr>
          <w:rFonts w:cstheme="minorHAnsi"/>
          <w:szCs w:val="20"/>
        </w:rPr>
        <w:t xml:space="preserve"> Bus, vytvoření Informačního systému sdílené služby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 xml:space="preserve">napojení jednotlivých klíčových </w:t>
      </w:r>
      <w:r w:rsidRPr="00535CE0">
        <w:rPr>
          <w:rFonts w:cstheme="minorHAnsi"/>
          <w:szCs w:val="20"/>
        </w:rPr>
        <w:lastRenderedPageBreak/>
        <w:t>informačních systémů do ISSS tak, aby bylo možné si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rámci veřejné správy vyměňovat zabezpečeně data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 xml:space="preserve">na jejich základě pak </w:t>
      </w:r>
      <w:proofErr w:type="spellStart"/>
      <w:r w:rsidRPr="00535CE0">
        <w:rPr>
          <w:rFonts w:cstheme="minorHAnsi"/>
          <w:szCs w:val="20"/>
        </w:rPr>
        <w:t>předvyplňovat</w:t>
      </w:r>
      <w:proofErr w:type="spellEnd"/>
      <w:r w:rsidRPr="00535CE0">
        <w:rPr>
          <w:rFonts w:cstheme="minorHAnsi"/>
          <w:szCs w:val="20"/>
        </w:rPr>
        <w:t xml:space="preserve"> jednotlivé formuláře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podání při zachování zásady „</w:t>
      </w:r>
      <w:proofErr w:type="spellStart"/>
      <w:r w:rsidRPr="00535CE0">
        <w:rPr>
          <w:rFonts w:cstheme="minorHAnsi"/>
          <w:szCs w:val="20"/>
        </w:rPr>
        <w:t>only</w:t>
      </w:r>
      <w:proofErr w:type="spellEnd"/>
      <w:r w:rsidRPr="00535CE0">
        <w:rPr>
          <w:rFonts w:cstheme="minorHAnsi"/>
          <w:szCs w:val="20"/>
        </w:rPr>
        <w:t xml:space="preserve"> </w:t>
      </w:r>
      <w:proofErr w:type="spellStart"/>
      <w:r w:rsidRPr="00535CE0">
        <w:rPr>
          <w:rFonts w:cstheme="minorHAnsi"/>
          <w:szCs w:val="20"/>
        </w:rPr>
        <w:t>once</w:t>
      </w:r>
      <w:proofErr w:type="spellEnd"/>
      <w:r w:rsidRPr="00535CE0">
        <w:rPr>
          <w:rFonts w:cstheme="minorHAnsi"/>
          <w:szCs w:val="20"/>
        </w:rPr>
        <w:t xml:space="preserve">“. Tedy klient poskytne příslušná data státní správě pouze jedenkrát. </w:t>
      </w:r>
    </w:p>
    <w:p w14:paraId="13E3F411" w14:textId="428B28C1" w:rsidR="00C42CDB" w:rsidRPr="00535CE0" w:rsidRDefault="00C42CDB" w:rsidP="00C04D0C">
      <w:pPr>
        <w:rPr>
          <w:rFonts w:cstheme="minorHAnsi"/>
          <w:szCs w:val="20"/>
        </w:rPr>
      </w:pPr>
      <w:r w:rsidRPr="00535CE0">
        <w:rPr>
          <w:rFonts w:cstheme="minorHAnsi"/>
          <w:szCs w:val="20"/>
        </w:rPr>
        <w:t>Vybudování informační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komunikační infrastruktury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resortu justice umožní z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technologického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hmotného hlediska budoucí poskytování digitálních služeb, včetně fungování justice vzdáleně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dobách běžných i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v krizových situacích. Publikace nových služeb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zpřístupnění již existujících služeb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dat z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oblasti justice ve webovém prostoru (prostřednictvím Portálu justice) umožní široké veřejnosti využít služeb justice online.</w:t>
      </w:r>
    </w:p>
    <w:p w14:paraId="2B16F7CF" w14:textId="45D5A90B" w:rsidR="00C42CDB" w:rsidRPr="00535CE0" w:rsidRDefault="00C42CDB" w:rsidP="00C04D0C">
      <w:pPr>
        <w:rPr>
          <w:rFonts w:cstheme="minorHAnsi"/>
          <w:szCs w:val="20"/>
        </w:rPr>
      </w:pPr>
      <w:r w:rsidRPr="00535CE0">
        <w:rPr>
          <w:rFonts w:cstheme="minorHAnsi"/>
          <w:szCs w:val="20"/>
        </w:rPr>
        <w:t>Vytvoření komplexně digitalizovaných – bezpapírových úřadů spočívá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zásadní transformaci úřadů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 xml:space="preserve">jejich agend dle principu </w:t>
      </w:r>
      <w:proofErr w:type="spellStart"/>
      <w:r w:rsidRPr="00535CE0">
        <w:rPr>
          <w:rFonts w:cstheme="minorHAnsi"/>
          <w:szCs w:val="20"/>
        </w:rPr>
        <w:t>digital</w:t>
      </w:r>
      <w:proofErr w:type="spellEnd"/>
      <w:r w:rsidRPr="00535CE0">
        <w:rPr>
          <w:rFonts w:cstheme="minorHAnsi"/>
          <w:szCs w:val="20"/>
        </w:rPr>
        <w:t xml:space="preserve"> </w:t>
      </w:r>
      <w:proofErr w:type="spellStart"/>
      <w:r w:rsidRPr="00535CE0">
        <w:rPr>
          <w:rFonts w:cstheme="minorHAnsi"/>
          <w:szCs w:val="20"/>
        </w:rPr>
        <w:t>first</w:t>
      </w:r>
      <w:proofErr w:type="spellEnd"/>
      <w:r w:rsidRPr="00535CE0">
        <w:rPr>
          <w:rFonts w:cstheme="minorHAnsi"/>
          <w:szCs w:val="20"/>
        </w:rPr>
        <w:t>, vytváření maticových týmů pro řešení potřeb vnitřních i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vnějších klientů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 xml:space="preserve">vývoje, příp. úprav stávajících </w:t>
      </w:r>
      <w:proofErr w:type="spellStart"/>
      <w:r w:rsidRPr="00535CE0">
        <w:rPr>
          <w:rFonts w:cstheme="minorHAnsi"/>
          <w:szCs w:val="20"/>
        </w:rPr>
        <w:t>agendových</w:t>
      </w:r>
      <w:proofErr w:type="spellEnd"/>
      <w:r w:rsidRPr="00535CE0">
        <w:rPr>
          <w:rFonts w:cstheme="minorHAnsi"/>
          <w:szCs w:val="20"/>
        </w:rPr>
        <w:t xml:space="preserve"> i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podpůrných informačních systémů, digitální transformace je zároveň podporována prací kompetenčních center, která budou nastavovat principy vývoje nových digitálních systémů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služeb vč. konzultační podpory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to především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 xml:space="preserve">oblastech  analýz, procesních analýz, </w:t>
      </w:r>
      <w:proofErr w:type="spellStart"/>
      <w:r w:rsidRPr="00535CE0">
        <w:rPr>
          <w:rFonts w:cstheme="minorHAnsi"/>
          <w:szCs w:val="20"/>
        </w:rPr>
        <w:t>enterprise</w:t>
      </w:r>
      <w:proofErr w:type="spellEnd"/>
      <w:r w:rsidRPr="00535CE0">
        <w:rPr>
          <w:rFonts w:cstheme="minorHAnsi"/>
          <w:szCs w:val="20"/>
        </w:rPr>
        <w:t xml:space="preserve"> architektury, návrhu UX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UI, kybernetické bezpečnosti, portálových řešení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agilního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projektového řízení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rámci implementace informačních systémů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 xml:space="preserve">změn do ekosystému úřadu. </w:t>
      </w:r>
    </w:p>
    <w:p w14:paraId="2B2D8C8E" w14:textId="706F0F8A" w:rsidR="00C42CDB" w:rsidRPr="00535CE0" w:rsidRDefault="00C42CDB" w:rsidP="00C04D0C">
      <w:pPr>
        <w:rPr>
          <w:rFonts w:cstheme="minorHAnsi"/>
          <w:szCs w:val="20"/>
        </w:rPr>
      </w:pPr>
      <w:r w:rsidRPr="00535CE0">
        <w:rPr>
          <w:rFonts w:cstheme="minorHAnsi"/>
          <w:szCs w:val="20"/>
        </w:rPr>
        <w:t>Redukce technologického dluhu na úrovni jednotlivých systémů centrálních úřadů (vč. přenesené působnosti) příp. krajů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obcí, zejména prostřednictvím aktualizace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budování nových informačních systémů úřadu.</w:t>
      </w:r>
    </w:p>
    <w:p w14:paraId="3525D14F" w14:textId="1E548469" w:rsidR="00C42CDB" w:rsidRPr="00535CE0" w:rsidRDefault="00C42CDB" w:rsidP="00C04D0C">
      <w:pPr>
        <w:rPr>
          <w:rFonts w:cstheme="minorHAnsi"/>
          <w:szCs w:val="20"/>
        </w:rPr>
      </w:pPr>
      <w:r w:rsidRPr="00535CE0">
        <w:rPr>
          <w:rFonts w:cstheme="minorHAnsi"/>
          <w:szCs w:val="20"/>
        </w:rPr>
        <w:t>Průřezově všemi oblastmi bude řešena otázka zajištění kybernetické bezpečnostmi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ochrany osobních údajů</w:t>
      </w:r>
      <w:r w:rsidR="00230123">
        <w:rPr>
          <w:rFonts w:cstheme="minorHAnsi"/>
          <w:szCs w:val="20"/>
        </w:rPr>
        <w:t xml:space="preserve"> dle příslušných právních předpisů (Z</w:t>
      </w:r>
      <w:r w:rsidR="00230123" w:rsidRPr="00230123">
        <w:rPr>
          <w:rFonts w:cstheme="minorHAnsi"/>
          <w:szCs w:val="20"/>
        </w:rPr>
        <w:t>ákona o kybernetické bezpečnosti a souvisejících předpisů</w:t>
      </w:r>
      <w:r w:rsidR="00230123">
        <w:rPr>
          <w:rFonts w:cstheme="minorHAnsi"/>
          <w:szCs w:val="20"/>
        </w:rPr>
        <w:t xml:space="preserve"> a Zákona </w:t>
      </w:r>
      <w:r w:rsidR="00484068">
        <w:rPr>
          <w:rFonts w:cstheme="minorHAnsi"/>
          <w:szCs w:val="20"/>
        </w:rPr>
        <w:t>o ochranně osobních údajů a souvisejících předpisů)</w:t>
      </w:r>
      <w:r w:rsidRPr="00535CE0">
        <w:rPr>
          <w:rFonts w:cstheme="minorHAnsi"/>
          <w:szCs w:val="20"/>
        </w:rPr>
        <w:t>.</w:t>
      </w:r>
    </w:p>
    <w:p w14:paraId="06DB8D5C" w14:textId="186E5C1B" w:rsidR="00C42CDB" w:rsidRPr="00535CE0" w:rsidRDefault="00C42CDB" w:rsidP="00475018">
      <w:pPr>
        <w:pStyle w:val="K-1"/>
        <w:rPr>
          <w:sz w:val="20"/>
          <w:szCs w:val="20"/>
        </w:rPr>
      </w:pPr>
      <w:r w:rsidRPr="00535CE0">
        <w:rPr>
          <w:sz w:val="20"/>
          <w:szCs w:val="20"/>
        </w:rPr>
        <w:t>2. Hlavní výzvy a</w:t>
      </w:r>
      <w:r w:rsidR="00EE51EC" w:rsidRPr="00535CE0">
        <w:rPr>
          <w:sz w:val="20"/>
          <w:szCs w:val="20"/>
        </w:rPr>
        <w:t> </w:t>
      </w:r>
      <w:r w:rsidRPr="00535CE0">
        <w:rPr>
          <w:sz w:val="20"/>
          <w:szCs w:val="20"/>
        </w:rPr>
        <w:t>cíle</w:t>
      </w:r>
    </w:p>
    <w:p w14:paraId="2FCAA4BE" w14:textId="216E27FA" w:rsidR="00C42CDB" w:rsidRPr="00535CE0" w:rsidRDefault="00C42CDB" w:rsidP="00174CDE">
      <w:pPr>
        <w:rPr>
          <w:rFonts w:cstheme="minorHAnsi"/>
          <w:i/>
          <w:iCs/>
          <w:szCs w:val="20"/>
        </w:rPr>
      </w:pPr>
      <w:r w:rsidRPr="00535CE0">
        <w:rPr>
          <w:rFonts w:cstheme="minorHAnsi"/>
          <w:szCs w:val="20"/>
        </w:rPr>
        <w:t>Vytvořit efektivní systémové, technologické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znalost</w:t>
      </w:r>
      <w:r w:rsidR="00FB0474">
        <w:rPr>
          <w:rFonts w:cstheme="minorHAnsi"/>
          <w:szCs w:val="20"/>
        </w:rPr>
        <w:t>n</w:t>
      </w:r>
      <w:r w:rsidRPr="00535CE0">
        <w:rPr>
          <w:rFonts w:cstheme="minorHAnsi"/>
          <w:szCs w:val="20"/>
        </w:rPr>
        <w:t>í prostředí pro digitalizaci agend vykonávaných státem (a zdravotnictvím) jako komplexním oborem ekonomiky, s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výrazným zastoupením státních institucí. Cílem je vytvoření příp. úpravy systémů sloužících ke sdílení dat mezi jednotlivými informačními systémy (orgánů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institucí) prostřednictvím základních (a zdravotnických) registrů, propojeného datového fondu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Informačního systému sdílené služby (</w:t>
      </w:r>
      <w:proofErr w:type="spellStart"/>
      <w:r w:rsidRPr="00535CE0">
        <w:rPr>
          <w:rFonts w:cstheme="minorHAnsi"/>
          <w:szCs w:val="20"/>
        </w:rPr>
        <w:t>eGovernment</w:t>
      </w:r>
      <w:proofErr w:type="spellEnd"/>
      <w:r w:rsidRPr="00535CE0">
        <w:rPr>
          <w:rFonts w:cstheme="minorHAnsi"/>
          <w:szCs w:val="20"/>
        </w:rPr>
        <w:t xml:space="preserve"> </w:t>
      </w:r>
      <w:proofErr w:type="spellStart"/>
      <w:r w:rsidRPr="00535CE0">
        <w:rPr>
          <w:rFonts w:cstheme="minorHAnsi"/>
          <w:szCs w:val="20"/>
        </w:rPr>
        <w:t>Service</w:t>
      </w:r>
      <w:proofErr w:type="spellEnd"/>
      <w:r w:rsidRPr="00535CE0">
        <w:rPr>
          <w:rFonts w:cstheme="minorHAnsi"/>
          <w:szCs w:val="20"/>
        </w:rPr>
        <w:t xml:space="preserve"> Bus). Dále vytvoření nebo rozvoj stávajících či nových funkcionalit </w:t>
      </w:r>
      <w:proofErr w:type="spellStart"/>
      <w:r w:rsidRPr="00535CE0">
        <w:rPr>
          <w:rFonts w:cstheme="minorHAnsi"/>
          <w:szCs w:val="20"/>
        </w:rPr>
        <w:t>backendových</w:t>
      </w:r>
      <w:proofErr w:type="spellEnd"/>
      <w:r w:rsidRPr="00535CE0">
        <w:rPr>
          <w:rFonts w:cstheme="minorHAnsi"/>
          <w:szCs w:val="20"/>
        </w:rPr>
        <w:t xml:space="preserve"> informačních systémů jednotlivých orgánů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institucí sloužící především k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vlastnímu výkonu agend tak, aby agendy byly vykonávány jako plně digitální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úřady se tak postupně stávaly zcela bezpapírovými. Hlavní důraz je zde kladen na vzájemnou spolupráci umožňující vyšší míru vnitřní digitalizace úřadů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institucí s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přechodem na tzv. bezpapírový úřad.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souvislosti s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nedávno proběhlými kybernetickými útoky na některé centrální úřady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poskytovatele zdravotnických služeb je cílem masivní posílení zejména oblasti kybernetické bezpečnosti,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to jak na úrovni centrálního řízení (CMS 2.0), tak na úrovni konkrétních institucí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 xml:space="preserve">poskytovatelů zdravotnických služeb. </w:t>
      </w:r>
    </w:p>
    <w:p w14:paraId="0C1EC7D8" w14:textId="269E6C88" w:rsidR="00C42CDB" w:rsidRPr="00535CE0" w:rsidRDefault="00C42CDB" w:rsidP="00174CDE">
      <w:pPr>
        <w:rPr>
          <w:rFonts w:cstheme="minorHAnsi"/>
          <w:szCs w:val="20"/>
        </w:rPr>
      </w:pPr>
      <w:r w:rsidRPr="00535CE0">
        <w:rPr>
          <w:rFonts w:cstheme="minorHAnsi"/>
          <w:szCs w:val="20"/>
        </w:rPr>
        <w:t>Rozvoje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sdílení znalostí, kompetencí, metodik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standardů poskytovaných prostřednictvím kompetenčních center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center excelence pro úřady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instituce.</w:t>
      </w:r>
    </w:p>
    <w:p w14:paraId="13E57380" w14:textId="77777777" w:rsidR="00C42CDB" w:rsidRPr="00535CE0" w:rsidRDefault="00C42CDB" w:rsidP="00174CDE">
      <w:pPr>
        <w:rPr>
          <w:rFonts w:eastAsia="Times New Roman" w:cstheme="minorHAnsi"/>
          <w:b/>
          <w:bCs/>
          <w:szCs w:val="20"/>
        </w:rPr>
      </w:pPr>
      <w:r w:rsidRPr="00535CE0">
        <w:rPr>
          <w:rStyle w:val="K-Nadpis3Char"/>
          <w:rFonts w:asciiTheme="minorHAnsi" w:eastAsia="Times New Roman" w:hAnsiTheme="minorHAnsi" w:cstheme="minorHAnsi"/>
          <w:sz w:val="20"/>
          <w:szCs w:val="20"/>
        </w:rPr>
        <w:t>a) Hlavní výzvy</w:t>
      </w:r>
    </w:p>
    <w:p w14:paraId="648CBAA8" w14:textId="723DFFAD" w:rsidR="00C42CDB" w:rsidRPr="00535CE0" w:rsidRDefault="00C42CDB" w:rsidP="00174CDE">
      <w:pPr>
        <w:rPr>
          <w:rFonts w:eastAsia="Times New Roman" w:cstheme="minorHAnsi"/>
          <w:szCs w:val="20"/>
        </w:rPr>
      </w:pPr>
      <w:r w:rsidRPr="00535CE0">
        <w:rPr>
          <w:rFonts w:eastAsia="Times New Roman" w:cstheme="minorHAnsi"/>
          <w:szCs w:val="20"/>
        </w:rPr>
        <w:t>Česká republika má dlouhodobý technologický deficit, který mj. spočívá i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ve velmi omezeném sdílení dat v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 xml:space="preserve">rámci veřejné správy. Do stávajícího systému </w:t>
      </w:r>
      <w:proofErr w:type="spellStart"/>
      <w:r w:rsidRPr="00535CE0">
        <w:rPr>
          <w:rFonts w:eastAsia="Times New Roman" w:cstheme="minorHAnsi"/>
          <w:szCs w:val="20"/>
        </w:rPr>
        <w:t>eGovernment</w:t>
      </w:r>
      <w:proofErr w:type="spellEnd"/>
      <w:r w:rsidRPr="00535CE0">
        <w:rPr>
          <w:rFonts w:eastAsia="Times New Roman" w:cstheme="minorHAnsi"/>
          <w:szCs w:val="20"/>
        </w:rPr>
        <w:t xml:space="preserve"> </w:t>
      </w:r>
      <w:proofErr w:type="spellStart"/>
      <w:r w:rsidRPr="00535CE0">
        <w:rPr>
          <w:rFonts w:eastAsia="Times New Roman" w:cstheme="minorHAnsi"/>
          <w:szCs w:val="20"/>
        </w:rPr>
        <w:t>Service</w:t>
      </w:r>
      <w:proofErr w:type="spellEnd"/>
      <w:r w:rsidRPr="00535CE0">
        <w:rPr>
          <w:rFonts w:eastAsia="Times New Roman" w:cstheme="minorHAnsi"/>
          <w:szCs w:val="20"/>
        </w:rPr>
        <w:t xml:space="preserve"> Bus je připojeno velmi omezené množství informačních systémů a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vzájemná výměna dat je minimální. Výměna dat je tak mnohdy řešena prostřednictvím vzájemného propojení jednotlivých systémů, a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 xml:space="preserve">to především na úrovni resortu. Tyto </w:t>
      </w:r>
      <w:proofErr w:type="spellStart"/>
      <w:r w:rsidRPr="00535CE0">
        <w:rPr>
          <w:rFonts w:eastAsia="Times New Roman" w:cstheme="minorHAnsi"/>
          <w:szCs w:val="20"/>
        </w:rPr>
        <w:t>agendové</w:t>
      </w:r>
      <w:proofErr w:type="spellEnd"/>
      <w:r w:rsidRPr="00535CE0">
        <w:rPr>
          <w:rFonts w:eastAsia="Times New Roman" w:cstheme="minorHAnsi"/>
          <w:szCs w:val="20"/>
        </w:rPr>
        <w:t xml:space="preserve"> informační systémy jsou pak obtížně rozšířitelné příp. </w:t>
      </w:r>
      <w:proofErr w:type="spellStart"/>
      <w:r w:rsidRPr="00535CE0">
        <w:rPr>
          <w:rFonts w:eastAsia="Times New Roman" w:cstheme="minorHAnsi"/>
          <w:szCs w:val="20"/>
        </w:rPr>
        <w:t>napojitelné</w:t>
      </w:r>
      <w:proofErr w:type="spellEnd"/>
      <w:r w:rsidRPr="00535CE0">
        <w:rPr>
          <w:rFonts w:eastAsia="Times New Roman" w:cstheme="minorHAnsi"/>
          <w:szCs w:val="20"/>
        </w:rPr>
        <w:t xml:space="preserve"> na moderní sběrnice služeb. Výkon agend jednotlivými úřady a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institucemi je tak digitální pouze částečně a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je tedy vykonávána v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kombinované podobě. Další velkou výzvou v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 xml:space="preserve">rámci komponenty je kybernetická bezpečnost. </w:t>
      </w:r>
      <w:r w:rsidR="00065FFD" w:rsidRPr="00065FFD">
        <w:rPr>
          <w:rFonts w:eastAsia="Times New Roman" w:cstheme="minorHAnsi"/>
          <w:szCs w:val="20"/>
        </w:rPr>
        <w:t xml:space="preserve">Další velkou výzvou v rámci komponenty je adekvátní zajištění kybernetické bezpečnosti. I přes povinnosti uvedené v zákoně o kybernetické bezpečnosti a s ním spojených předpisů je faktický stav a úroveň kybernetické bezpečnosti u povinných subjektů z veřejné správy i přes pokrok a snahu o řešení nadále neuspokojivý. U poskytovatelů zdravotních služeb je úroveň zajištění kybernetické bezpečnosti zpravidla ještě nižší. </w:t>
      </w:r>
      <w:r w:rsidR="001836E1">
        <w:rPr>
          <w:rFonts w:eastAsia="Times New Roman" w:cstheme="minorHAnsi"/>
          <w:szCs w:val="20"/>
        </w:rPr>
        <w:t>Současně</w:t>
      </w:r>
      <w:r w:rsidR="00065FFD" w:rsidRPr="00065FFD">
        <w:rPr>
          <w:rFonts w:eastAsia="Times New Roman" w:cstheme="minorHAnsi"/>
          <w:szCs w:val="20"/>
        </w:rPr>
        <w:t xml:space="preserve"> uvedené subjekty nedisponují dostatečným počtem kvalifikovaných odborníků, kteří by zlepšení situaci mohli napomoci.</w:t>
      </w:r>
      <w:r w:rsidR="00AD592F">
        <w:rPr>
          <w:rFonts w:eastAsia="Times New Roman" w:cstheme="minorHAnsi"/>
          <w:szCs w:val="20"/>
        </w:rPr>
        <w:t xml:space="preserve"> </w:t>
      </w:r>
      <w:r w:rsidR="0035462C">
        <w:rPr>
          <w:rFonts w:eastAsia="Times New Roman" w:cstheme="minorHAnsi"/>
          <w:szCs w:val="20"/>
        </w:rPr>
        <w:t>V</w:t>
      </w:r>
      <w:r w:rsidRPr="00535CE0">
        <w:rPr>
          <w:rFonts w:eastAsia="Times New Roman" w:cstheme="minorHAnsi"/>
          <w:szCs w:val="20"/>
        </w:rPr>
        <w:t xml:space="preserve">eřejná správa </w:t>
      </w:r>
      <w:r w:rsidR="0035462C">
        <w:rPr>
          <w:rFonts w:eastAsia="Times New Roman" w:cstheme="minorHAnsi"/>
          <w:szCs w:val="20"/>
        </w:rPr>
        <w:t xml:space="preserve">je </w:t>
      </w:r>
      <w:r w:rsidRPr="00535CE0">
        <w:rPr>
          <w:rFonts w:eastAsia="Times New Roman" w:cstheme="minorHAnsi"/>
          <w:szCs w:val="20"/>
        </w:rPr>
        <w:t>velmi omezená v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oblasti vysoce kvalitních a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kvalifikovaných odborníků z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prostředí IT (architektura, služby, kybernetická bezpečnost, vývoj, řízení, …)</w:t>
      </w:r>
      <w:r w:rsidR="00C04D0C" w:rsidRPr="00535CE0">
        <w:rPr>
          <w:rFonts w:eastAsia="Times New Roman" w:cstheme="minorHAnsi"/>
          <w:szCs w:val="20"/>
        </w:rPr>
        <w:t xml:space="preserve">. </w:t>
      </w:r>
      <w:r w:rsidR="005E6AD7">
        <w:rPr>
          <w:rFonts w:eastAsia="Times New Roman" w:cstheme="minorHAnsi"/>
          <w:szCs w:val="20"/>
        </w:rPr>
        <w:t>Často je pak nucena nakupovat tyto specialisty na volném trhu a po ukončení kontraktu tak z pravidla ztrácí cenné know-how.</w:t>
      </w:r>
    </w:p>
    <w:p w14:paraId="2ADC9E14" w14:textId="77777777" w:rsidR="00C04D0C" w:rsidRPr="00535CE0" w:rsidRDefault="00C04D0C" w:rsidP="00174CDE">
      <w:pPr>
        <w:rPr>
          <w:rFonts w:cstheme="minorHAnsi"/>
          <w:iCs/>
          <w:szCs w:val="20"/>
        </w:rPr>
      </w:pPr>
      <w:r w:rsidRPr="00535CE0">
        <w:rPr>
          <w:rFonts w:cstheme="minorHAnsi"/>
          <w:iCs/>
          <w:szCs w:val="20"/>
        </w:rPr>
        <w:t xml:space="preserve">Komponenta jako celek i její jednotlivé investice a reformy (a na ně navázané programy a projekty) odpovídají na </w:t>
      </w:r>
      <w:proofErr w:type="spellStart"/>
      <w:r w:rsidRPr="00535CE0">
        <w:rPr>
          <w:rFonts w:cstheme="minorHAnsi"/>
          <w:iCs/>
          <w:szCs w:val="20"/>
        </w:rPr>
        <w:t>CSRs</w:t>
      </w:r>
      <w:proofErr w:type="spellEnd"/>
      <w:r w:rsidRPr="00535CE0">
        <w:rPr>
          <w:rFonts w:cstheme="minorHAnsi"/>
          <w:iCs/>
          <w:szCs w:val="20"/>
        </w:rPr>
        <w:t xml:space="preserve"> především v následujících oblastech:</w:t>
      </w:r>
    </w:p>
    <w:p w14:paraId="6CA93AE8" w14:textId="77777777" w:rsidR="00C04D0C" w:rsidRPr="00535CE0" w:rsidRDefault="00C04D0C" w:rsidP="00174CDE">
      <w:pPr>
        <w:pStyle w:val="Odrka"/>
        <w:rPr>
          <w:rFonts w:cstheme="minorHAnsi"/>
          <w:szCs w:val="20"/>
        </w:rPr>
      </w:pPr>
      <w:r w:rsidRPr="00535CE0">
        <w:rPr>
          <w:rFonts w:cstheme="minorHAnsi"/>
          <w:szCs w:val="20"/>
        </w:rPr>
        <w:lastRenderedPageBreak/>
        <w:t>Investice do digitální infrastruktury (</w:t>
      </w:r>
      <w:proofErr w:type="spellStart"/>
      <w:r w:rsidRPr="00535CE0">
        <w:rPr>
          <w:rFonts w:cstheme="minorHAnsi"/>
          <w:szCs w:val="20"/>
        </w:rPr>
        <w:t>CSRs</w:t>
      </w:r>
      <w:proofErr w:type="spellEnd"/>
      <w:r w:rsidRPr="00535CE0">
        <w:rPr>
          <w:rFonts w:cstheme="minorHAnsi"/>
          <w:szCs w:val="20"/>
        </w:rPr>
        <w:t xml:space="preserve"> 2019/2020)</w:t>
      </w:r>
    </w:p>
    <w:p w14:paraId="3345C7B9" w14:textId="77777777" w:rsidR="00C04D0C" w:rsidRPr="00535CE0" w:rsidRDefault="00C04D0C" w:rsidP="00174CDE">
      <w:pPr>
        <w:pStyle w:val="Odrka"/>
        <w:rPr>
          <w:rFonts w:cstheme="minorHAnsi"/>
          <w:szCs w:val="20"/>
        </w:rPr>
      </w:pPr>
      <w:r w:rsidRPr="00535CE0">
        <w:rPr>
          <w:rFonts w:cstheme="minorHAnsi"/>
          <w:szCs w:val="20"/>
        </w:rPr>
        <w:t>Snížení administrativní zátěže (</w:t>
      </w:r>
      <w:proofErr w:type="spellStart"/>
      <w:r w:rsidRPr="00535CE0">
        <w:rPr>
          <w:rFonts w:cstheme="minorHAnsi"/>
          <w:szCs w:val="20"/>
        </w:rPr>
        <w:t>CSRs</w:t>
      </w:r>
      <w:proofErr w:type="spellEnd"/>
      <w:r w:rsidRPr="00535CE0">
        <w:rPr>
          <w:rFonts w:cstheme="minorHAnsi"/>
          <w:szCs w:val="20"/>
        </w:rPr>
        <w:t xml:space="preserve"> 2020/2021)</w:t>
      </w:r>
    </w:p>
    <w:p w14:paraId="170BDE59" w14:textId="77777777" w:rsidR="00C04D0C" w:rsidRPr="00535CE0" w:rsidRDefault="00C04D0C" w:rsidP="00174CDE">
      <w:pPr>
        <w:pStyle w:val="Odrka"/>
        <w:rPr>
          <w:rFonts w:cstheme="minorHAnsi"/>
          <w:szCs w:val="20"/>
        </w:rPr>
      </w:pPr>
      <w:r w:rsidRPr="00535CE0">
        <w:rPr>
          <w:rFonts w:cstheme="minorHAnsi"/>
          <w:szCs w:val="20"/>
        </w:rPr>
        <w:t>Zlepšení elektronické veřejné správy (</w:t>
      </w:r>
      <w:proofErr w:type="spellStart"/>
      <w:r w:rsidRPr="00535CE0">
        <w:rPr>
          <w:rFonts w:cstheme="minorHAnsi"/>
          <w:szCs w:val="20"/>
        </w:rPr>
        <w:t>CSRs</w:t>
      </w:r>
      <w:proofErr w:type="spellEnd"/>
      <w:r w:rsidRPr="00535CE0">
        <w:rPr>
          <w:rFonts w:cstheme="minorHAnsi"/>
          <w:szCs w:val="20"/>
        </w:rPr>
        <w:t xml:space="preserve"> 2020/2021)</w:t>
      </w:r>
    </w:p>
    <w:p w14:paraId="3D5DC384" w14:textId="77777777" w:rsidR="00C04D0C" w:rsidRPr="00535CE0" w:rsidRDefault="00C04D0C" w:rsidP="00174CDE">
      <w:pPr>
        <w:pStyle w:val="Odrka"/>
        <w:rPr>
          <w:rFonts w:cstheme="minorHAnsi"/>
          <w:szCs w:val="20"/>
        </w:rPr>
      </w:pPr>
      <w:r w:rsidRPr="00535CE0">
        <w:rPr>
          <w:rFonts w:cstheme="minorHAnsi"/>
          <w:szCs w:val="20"/>
        </w:rPr>
        <w:t>Investice do digitální transformace (</w:t>
      </w:r>
      <w:proofErr w:type="spellStart"/>
      <w:r w:rsidRPr="00535CE0">
        <w:rPr>
          <w:rFonts w:cstheme="minorHAnsi"/>
          <w:szCs w:val="20"/>
        </w:rPr>
        <w:t>CSRs</w:t>
      </w:r>
      <w:proofErr w:type="spellEnd"/>
      <w:r w:rsidRPr="00535CE0">
        <w:rPr>
          <w:rFonts w:cstheme="minorHAnsi"/>
          <w:szCs w:val="20"/>
        </w:rPr>
        <w:t xml:space="preserve"> 2020/2021)</w:t>
      </w:r>
    </w:p>
    <w:p w14:paraId="512267DC" w14:textId="77777777" w:rsidR="00C04D0C" w:rsidRPr="00535CE0" w:rsidRDefault="00C04D0C" w:rsidP="00174CDE">
      <w:pPr>
        <w:rPr>
          <w:rFonts w:cstheme="minorHAnsi"/>
          <w:iCs/>
          <w:szCs w:val="20"/>
        </w:rPr>
      </w:pPr>
      <w:r w:rsidRPr="00535CE0">
        <w:rPr>
          <w:rFonts w:cstheme="minorHAnsi"/>
          <w:iCs/>
          <w:szCs w:val="20"/>
        </w:rPr>
        <w:t>Jednotlivé projekty pak podporují i zaměstnávání žen s malými dětmi např. prostřednictvím umožnění plnohodnotné práce na dálku (</w:t>
      </w:r>
      <w:proofErr w:type="spellStart"/>
      <w:r w:rsidRPr="00535CE0">
        <w:rPr>
          <w:rFonts w:cstheme="minorHAnsi"/>
          <w:iCs/>
          <w:szCs w:val="20"/>
        </w:rPr>
        <w:t>CSRs</w:t>
      </w:r>
      <w:proofErr w:type="spellEnd"/>
      <w:r w:rsidRPr="00535CE0">
        <w:rPr>
          <w:rFonts w:cstheme="minorHAnsi"/>
          <w:iCs/>
          <w:szCs w:val="20"/>
        </w:rPr>
        <w:t xml:space="preserve"> 2019/2020)</w:t>
      </w:r>
    </w:p>
    <w:p w14:paraId="05E1B1FA" w14:textId="77777777" w:rsidR="00C42CDB" w:rsidRPr="00535CE0" w:rsidRDefault="00C42CDB" w:rsidP="00174CDE">
      <w:pPr>
        <w:rPr>
          <w:rFonts w:eastAsia="Times New Roman" w:cstheme="minorHAnsi"/>
          <w:b/>
          <w:szCs w:val="20"/>
        </w:rPr>
      </w:pPr>
      <w:r w:rsidRPr="00535CE0">
        <w:rPr>
          <w:rFonts w:eastAsia="Times New Roman" w:cstheme="minorHAnsi"/>
          <w:b/>
          <w:szCs w:val="20"/>
        </w:rPr>
        <w:t xml:space="preserve">b) Cíle </w:t>
      </w:r>
    </w:p>
    <w:p w14:paraId="3E75695C" w14:textId="1171072B" w:rsidR="00C42CDB" w:rsidRPr="00535CE0" w:rsidRDefault="00C42CDB" w:rsidP="00174CDE">
      <w:pPr>
        <w:rPr>
          <w:rFonts w:eastAsia="Times New Roman" w:cstheme="minorHAnsi"/>
          <w:szCs w:val="20"/>
        </w:rPr>
      </w:pPr>
      <w:r w:rsidRPr="00535CE0">
        <w:rPr>
          <w:rFonts w:eastAsia="Times New Roman" w:cstheme="minorHAnsi"/>
          <w:szCs w:val="20"/>
        </w:rPr>
        <w:t>Vytvořit propojený datový fond a</w:t>
      </w:r>
      <w:r w:rsidR="00EE51EC" w:rsidRPr="00535CE0">
        <w:rPr>
          <w:rFonts w:eastAsia="Times New Roman" w:cstheme="minorHAnsi"/>
          <w:szCs w:val="20"/>
        </w:rPr>
        <w:t> </w:t>
      </w:r>
      <w:proofErr w:type="spellStart"/>
      <w:r w:rsidRPr="00535CE0">
        <w:rPr>
          <w:rFonts w:eastAsia="Times New Roman" w:cstheme="minorHAnsi"/>
          <w:szCs w:val="20"/>
        </w:rPr>
        <w:t>eGovernement</w:t>
      </w:r>
      <w:proofErr w:type="spellEnd"/>
      <w:r w:rsidRPr="00535CE0">
        <w:rPr>
          <w:rFonts w:eastAsia="Times New Roman" w:cstheme="minorHAnsi"/>
          <w:szCs w:val="20"/>
        </w:rPr>
        <w:t xml:space="preserve"> </w:t>
      </w:r>
      <w:proofErr w:type="spellStart"/>
      <w:r w:rsidRPr="00535CE0">
        <w:rPr>
          <w:rFonts w:eastAsia="Times New Roman" w:cstheme="minorHAnsi"/>
          <w:szCs w:val="20"/>
        </w:rPr>
        <w:t>Service</w:t>
      </w:r>
      <w:proofErr w:type="spellEnd"/>
      <w:r w:rsidRPr="00535CE0">
        <w:rPr>
          <w:rFonts w:eastAsia="Times New Roman" w:cstheme="minorHAnsi"/>
          <w:szCs w:val="20"/>
        </w:rPr>
        <w:t xml:space="preserve"> Bus jako základní prvek pro vysoce bezpečné sdílení infrastruktury, služeb a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dat. Vytvoření komplexně digitalizovaných – bezpapírových úřadů. Redukce technologického dluhu na úrovni jednotlivých systémů centrálních úřadů (vč. přenesené působnosti), příp. krajů. Zajištění odpovídající úrovně sdílených znalostí a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kompetencí tak, aby byly dostupné všem veřejným úřadům a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institucím. Komponenta zároveň zcela naplňuje Doporučení 2020/2021 v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 xml:space="preserve">oblasti digitální transformace vnitřního chodu úřadů. </w:t>
      </w:r>
    </w:p>
    <w:p w14:paraId="3957C856" w14:textId="77777777" w:rsidR="00C42CDB" w:rsidRPr="00535CE0" w:rsidRDefault="00C42CDB" w:rsidP="00174CDE">
      <w:pPr>
        <w:rPr>
          <w:rFonts w:eastAsia="Times New Roman" w:cstheme="minorHAnsi"/>
          <w:b/>
          <w:szCs w:val="20"/>
        </w:rPr>
      </w:pPr>
      <w:r w:rsidRPr="00535CE0">
        <w:rPr>
          <w:rFonts w:eastAsia="Times New Roman" w:cstheme="minorHAnsi"/>
          <w:b/>
          <w:szCs w:val="20"/>
        </w:rPr>
        <w:t>c) Národní strategický kontext</w:t>
      </w:r>
    </w:p>
    <w:p w14:paraId="77AD63E1" w14:textId="6D42DDF5" w:rsidR="00C42CDB" w:rsidRPr="00535CE0" w:rsidRDefault="00C42CDB" w:rsidP="00174CDE">
      <w:pPr>
        <w:rPr>
          <w:rFonts w:eastAsia="Times New Roman" w:cstheme="minorHAnsi"/>
          <w:szCs w:val="20"/>
        </w:rPr>
      </w:pPr>
      <w:r w:rsidRPr="00535CE0">
        <w:rPr>
          <w:rFonts w:eastAsia="Times New Roman" w:cstheme="minorHAnsi"/>
          <w:szCs w:val="20"/>
        </w:rPr>
        <w:t xml:space="preserve">Komponenta „Digitální systémy veřejné správy“ úzce navazuje na strategii </w:t>
      </w:r>
      <w:proofErr w:type="spellStart"/>
      <w:r w:rsidRPr="00535CE0">
        <w:rPr>
          <w:rFonts w:eastAsia="Times New Roman" w:cstheme="minorHAnsi"/>
          <w:szCs w:val="20"/>
        </w:rPr>
        <w:t>The</w:t>
      </w:r>
      <w:proofErr w:type="spellEnd"/>
      <w:r w:rsidRPr="00535CE0">
        <w:rPr>
          <w:rFonts w:eastAsia="Times New Roman" w:cstheme="minorHAnsi"/>
          <w:szCs w:val="20"/>
        </w:rPr>
        <w:t xml:space="preserve"> Country </w:t>
      </w:r>
      <w:proofErr w:type="spellStart"/>
      <w:r w:rsidRPr="00535CE0">
        <w:rPr>
          <w:rFonts w:eastAsia="Times New Roman" w:cstheme="minorHAnsi"/>
          <w:szCs w:val="20"/>
        </w:rPr>
        <w:t>for</w:t>
      </w:r>
      <w:proofErr w:type="spellEnd"/>
      <w:r w:rsidRPr="00535CE0">
        <w:rPr>
          <w:rFonts w:eastAsia="Times New Roman" w:cstheme="minorHAnsi"/>
          <w:szCs w:val="20"/>
        </w:rPr>
        <w:t xml:space="preserve"> </w:t>
      </w:r>
      <w:proofErr w:type="spellStart"/>
      <w:r w:rsidRPr="00535CE0">
        <w:rPr>
          <w:rFonts w:eastAsia="Times New Roman" w:cstheme="minorHAnsi"/>
          <w:szCs w:val="20"/>
        </w:rPr>
        <w:t>The</w:t>
      </w:r>
      <w:proofErr w:type="spellEnd"/>
      <w:r w:rsidRPr="00535CE0">
        <w:rPr>
          <w:rFonts w:eastAsia="Times New Roman" w:cstheme="minorHAnsi"/>
          <w:szCs w:val="20"/>
        </w:rPr>
        <w:t xml:space="preserve"> </w:t>
      </w:r>
      <w:proofErr w:type="spellStart"/>
      <w:r w:rsidRPr="00535CE0">
        <w:rPr>
          <w:rFonts w:eastAsia="Times New Roman" w:cstheme="minorHAnsi"/>
          <w:szCs w:val="20"/>
        </w:rPr>
        <w:t>Future</w:t>
      </w:r>
      <w:proofErr w:type="spellEnd"/>
      <w:r w:rsidRPr="00535CE0">
        <w:rPr>
          <w:rFonts w:eastAsia="Times New Roman" w:cstheme="minorHAnsi"/>
          <w:szCs w:val="20"/>
        </w:rPr>
        <w:t>. Tato strategie je postavena na devíti pilířích. Jedním ze stěžejních pilířů je pak digitalizace, a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to jak ve smyslu digitalizace služeb poskytovaných veřejnými úřady a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institucemi vč. jejich vnitřní digitalizace, tak i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digitalizace průmyslu a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rozvoje sítí s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vysokou přenosovou kapacitou. Digitalizace má dále významnou oporu ve vládním programu Digitální Česko, mezi jehož hlavní cíle patří digitalizace a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digitální transformace státní a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veřejné správy. Program Digitální Česko je koordinačním místem a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znalostním centrem (ve spolupráci s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jednotlivými útvary Ministerstva vnitra) digitalizace a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digitální transformace. Součástí programu Digitální Česko je Informační koncepce ČR, která udává základní směry v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oblasti digitalizace veřejné správy a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jejího technologického rozvoje. Na Informační koncepci ČR následně navazují informační koncepce jednotlivých úřadů a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institucí (povinností je soulad s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Informační koncepcí ČR), které identifikují jejich digitalizační a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technologické výzvy. Mimo informačních koncepcí jednotlivých úřadů a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institucí pak existují i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další resortní strategické dokumenty, které se dotýkají oblastí rozvoje technologií a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digitalizace. V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oblasti zdravotnictví se v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tomto ohledu jedná především o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Strategii Zdraví 2030 a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Národní strategií elektronického zdravotnictví. V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oblasti justice se pak jedná o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 xml:space="preserve">Resortní strategii pro rozvoj </w:t>
      </w:r>
      <w:proofErr w:type="spellStart"/>
      <w:r w:rsidRPr="00535CE0">
        <w:rPr>
          <w:rFonts w:eastAsia="Times New Roman" w:cstheme="minorHAnsi"/>
          <w:szCs w:val="20"/>
        </w:rPr>
        <w:t>eJustice</w:t>
      </w:r>
      <w:proofErr w:type="spellEnd"/>
      <w:r w:rsidRPr="00535CE0">
        <w:rPr>
          <w:rFonts w:eastAsia="Times New Roman" w:cstheme="minorHAnsi"/>
          <w:szCs w:val="20"/>
        </w:rPr>
        <w:t xml:space="preserve"> 2016-2020 a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 xml:space="preserve">Resortní strategii pro rozvoj </w:t>
      </w:r>
      <w:proofErr w:type="spellStart"/>
      <w:r w:rsidRPr="00535CE0">
        <w:rPr>
          <w:rFonts w:eastAsia="Times New Roman" w:cstheme="minorHAnsi"/>
          <w:szCs w:val="20"/>
        </w:rPr>
        <w:t>eJustice</w:t>
      </w:r>
      <w:proofErr w:type="spellEnd"/>
      <w:r w:rsidRPr="00535CE0">
        <w:rPr>
          <w:rFonts w:eastAsia="Times New Roman" w:cstheme="minorHAnsi"/>
          <w:szCs w:val="20"/>
        </w:rPr>
        <w:t xml:space="preserve"> 2021–2027, která je aktuálně před schválením reflektující naplnění cílů předchozí resortní strategie a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rozpracovává nové základní strategické cíle: digitální služby pro občany a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společnosti; podpora a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rozvoj digitálních technologií v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justici; vytvoření robustního a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bezpečného IT prostředí; podpora podmínek pro digitalizaci justice</w:t>
      </w:r>
      <w:r w:rsidRPr="00535CE0">
        <w:rPr>
          <w:rFonts w:eastAsia="Times New Roman" w:cstheme="minorHAnsi"/>
          <w:webHidden/>
          <w:szCs w:val="20"/>
        </w:rPr>
        <w:t>.</w:t>
      </w:r>
      <w:r w:rsidRPr="00535CE0">
        <w:rPr>
          <w:rFonts w:eastAsia="Times New Roman" w:cstheme="minorHAnsi"/>
          <w:szCs w:val="20"/>
        </w:rPr>
        <w:t xml:space="preserve"> Veškeré zde prezentované projekty z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ní pak vychází.</w:t>
      </w:r>
    </w:p>
    <w:p w14:paraId="51DDAA5F" w14:textId="7D547C6A" w:rsidR="00C42CDB" w:rsidRPr="00535CE0" w:rsidRDefault="00C42CDB" w:rsidP="00174CDE">
      <w:pPr>
        <w:rPr>
          <w:rFonts w:eastAsia="Times New Roman" w:cstheme="minorHAnsi"/>
          <w:szCs w:val="20"/>
        </w:rPr>
      </w:pPr>
      <w:r w:rsidRPr="00535CE0">
        <w:rPr>
          <w:rFonts w:eastAsia="Times New Roman" w:cstheme="minorHAnsi"/>
          <w:szCs w:val="20"/>
        </w:rPr>
        <w:t>Podpora digitalizace je ze strany Vlády ČR zakotvena v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Programovém prohlášení vlády. Na politické úrovni je pak prezentována širokou shodou vládních i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 xml:space="preserve">opozičních stran při přijímání legislativy podporující digitální aktivity. </w:t>
      </w:r>
    </w:p>
    <w:p w14:paraId="3FDDCD43" w14:textId="32E04A57" w:rsidR="00C42CDB" w:rsidRPr="00535CE0" w:rsidRDefault="00C42CDB" w:rsidP="00174CDE">
      <w:pPr>
        <w:rPr>
          <w:rFonts w:cstheme="minorHAnsi"/>
          <w:szCs w:val="20"/>
        </w:rPr>
      </w:pPr>
      <w:r w:rsidRPr="00535CE0">
        <w:rPr>
          <w:rFonts w:eastAsia="Times New Roman" w:cstheme="minorHAnsi"/>
          <w:szCs w:val="20"/>
        </w:rPr>
        <w:t>Národní plán obnovy veškeré stávající digitalizační aktivity dále akceleruje a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umožňuje v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souladu s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absorpčními kapacitami jednotlivých úřadů a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institucí zrychlit tempo digitalizace v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 xml:space="preserve">ČR. </w:t>
      </w:r>
    </w:p>
    <w:p w14:paraId="3B185982" w14:textId="73ECCAAB" w:rsidR="00C42CDB" w:rsidRPr="00535CE0" w:rsidRDefault="00C42CDB" w:rsidP="00174CDE">
      <w:pPr>
        <w:rPr>
          <w:rFonts w:eastAsia="Times New Roman" w:cstheme="minorHAnsi"/>
          <w:szCs w:val="20"/>
        </w:rPr>
      </w:pPr>
      <w:r w:rsidRPr="00535CE0">
        <w:rPr>
          <w:rFonts w:eastAsia="Times New Roman" w:cstheme="minorHAnsi"/>
          <w:szCs w:val="20"/>
        </w:rPr>
        <w:t>Z legislativního hlediska Česká republika v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letošním roce přijala, kromě řady dílčích digitálně přívětivých právních aktů, také zákon č. 12/2020 Sb., o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právu na digitální služby, který má za cíl urychlit digitalizační snahy a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stanovit časový rámec, ve kterém budou jednotlivé veřejné služby poskytované občanům, ze strany veřejné správy, plně digitalizované. Tento legislativní akt je tedy možné považovat za výrazný strategický prvek v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digitalizaci české veřejné správy.</w:t>
      </w:r>
    </w:p>
    <w:p w14:paraId="59C1A390" w14:textId="77777777" w:rsidR="00C42CDB" w:rsidRPr="00535CE0" w:rsidRDefault="00C42CDB" w:rsidP="00174CDE">
      <w:pPr>
        <w:rPr>
          <w:rFonts w:cstheme="minorHAnsi"/>
          <w:szCs w:val="20"/>
        </w:rPr>
      </w:pPr>
      <w:r w:rsidRPr="00535CE0">
        <w:rPr>
          <w:rFonts w:cstheme="minorHAnsi"/>
          <w:szCs w:val="20"/>
        </w:rPr>
        <w:t xml:space="preserve">Přidružené programy: </w:t>
      </w:r>
    </w:p>
    <w:p w14:paraId="74ACAA2B" w14:textId="40DAB631" w:rsidR="00C42CDB" w:rsidRPr="00535CE0" w:rsidRDefault="00C42CDB" w:rsidP="00174CDE">
      <w:pPr>
        <w:pStyle w:val="Odrka"/>
        <w:rPr>
          <w:rFonts w:cstheme="minorHAnsi"/>
          <w:szCs w:val="20"/>
        </w:rPr>
      </w:pPr>
      <w:r w:rsidRPr="00535CE0">
        <w:rPr>
          <w:rFonts w:cstheme="minorHAnsi"/>
          <w:szCs w:val="20"/>
        </w:rPr>
        <w:t>Investice do digitalizačních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transformačních projektů prostřednictvím IROP 2014-2020, např. Digitalizace stavebního řízení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územního plánování, vč. projektu Digitální mapy veřejné správy, kybernetická bezpečnost apod.</w:t>
      </w:r>
    </w:p>
    <w:p w14:paraId="1F09322D" w14:textId="40400862" w:rsidR="00C42CDB" w:rsidRPr="00535CE0" w:rsidRDefault="00C42CDB" w:rsidP="00174CDE">
      <w:pPr>
        <w:pStyle w:val="Odrka"/>
        <w:rPr>
          <w:rFonts w:cstheme="minorHAnsi"/>
          <w:szCs w:val="20"/>
        </w:rPr>
      </w:pPr>
      <w:r w:rsidRPr="00535CE0">
        <w:rPr>
          <w:rFonts w:cstheme="minorHAnsi"/>
          <w:szCs w:val="20"/>
        </w:rPr>
        <w:t>Investice do prioritních projektů prostřednictvím státního rozpočtu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rámci programu Digitální Česko (cca 490 mil. Kč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r. 2019, cca 1,2 mld.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r. 2020).</w:t>
      </w:r>
    </w:p>
    <w:p w14:paraId="3ED6BA3F" w14:textId="37C8AE92" w:rsidR="00C42CDB" w:rsidRPr="00535CE0" w:rsidRDefault="00C42CDB" w:rsidP="00174CDE">
      <w:pPr>
        <w:pStyle w:val="Odrka"/>
        <w:rPr>
          <w:rFonts w:cstheme="minorHAnsi"/>
          <w:szCs w:val="20"/>
        </w:rPr>
      </w:pPr>
      <w:r w:rsidRPr="00535CE0">
        <w:rPr>
          <w:rFonts w:cstheme="minorHAnsi"/>
          <w:szCs w:val="20"/>
        </w:rPr>
        <w:t>Investice prostřednictvím OP PIK 2014-2020 do digitalizačních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transformačních projektů, např. Digitální technické mapy.</w:t>
      </w:r>
    </w:p>
    <w:p w14:paraId="4EB3CAD1" w14:textId="69E19461" w:rsidR="00C42CDB" w:rsidRPr="00535CE0" w:rsidRDefault="00C42CDB" w:rsidP="00174CDE">
      <w:pPr>
        <w:pStyle w:val="Odrka"/>
        <w:rPr>
          <w:rFonts w:cstheme="minorHAnsi"/>
          <w:szCs w:val="20"/>
        </w:rPr>
      </w:pPr>
      <w:r w:rsidRPr="00535CE0">
        <w:rPr>
          <w:rFonts w:cstheme="minorHAnsi"/>
          <w:szCs w:val="20"/>
        </w:rPr>
        <w:lastRenderedPageBreak/>
        <w:t>Investice do digitalizačních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transformačních projektů prostřednictvím IROP 2021+, předpokládané investice do oblasti kybernetické bezpečnosti jednotlivých centrálních i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lokálních úřadů, poskytovatelů zdravotní péče apod.</w:t>
      </w:r>
    </w:p>
    <w:p w14:paraId="62789C26" w14:textId="4F86863C" w:rsidR="00C42CDB" w:rsidRPr="00535CE0" w:rsidRDefault="00C42CDB" w:rsidP="00174CDE">
      <w:pPr>
        <w:pStyle w:val="Odrka"/>
        <w:rPr>
          <w:rFonts w:cstheme="minorHAnsi"/>
          <w:szCs w:val="20"/>
        </w:rPr>
      </w:pPr>
      <w:r w:rsidRPr="00535CE0">
        <w:rPr>
          <w:rFonts w:cstheme="minorHAnsi"/>
          <w:szCs w:val="20"/>
        </w:rPr>
        <w:t xml:space="preserve">komponenta 1.1 Digitální </w:t>
      </w:r>
      <w:r w:rsidR="004412C8">
        <w:rPr>
          <w:rFonts w:cstheme="minorHAnsi"/>
          <w:szCs w:val="20"/>
        </w:rPr>
        <w:t>služby pro občany a firmy</w:t>
      </w:r>
      <w:r w:rsidRPr="00535CE0">
        <w:rPr>
          <w:rFonts w:cstheme="minorHAnsi"/>
          <w:szCs w:val="20"/>
        </w:rPr>
        <w:t xml:space="preserve"> (RRF – pilíř Digitální infrastruktura), která zahrnuje rozvoj služeb poskytovaných koncovým zákazníkům, služby poskytované na centrální úrovni, nástroje pro publikaci otevřených dat vč. tvorby otevřených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veřejných datových sad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 xml:space="preserve">služby elektronického zdravotnictví. </w:t>
      </w:r>
    </w:p>
    <w:p w14:paraId="480B510B" w14:textId="21215D19" w:rsidR="00C42CDB" w:rsidRPr="00535CE0" w:rsidRDefault="00C42CDB" w:rsidP="00174CDE">
      <w:pPr>
        <w:pStyle w:val="Odrka"/>
        <w:rPr>
          <w:rFonts w:cstheme="minorHAnsi"/>
          <w:szCs w:val="20"/>
        </w:rPr>
      </w:pPr>
      <w:r w:rsidRPr="00535CE0">
        <w:rPr>
          <w:rFonts w:cstheme="minorHAnsi"/>
          <w:szCs w:val="20"/>
        </w:rPr>
        <w:t>komponenta 1.3 Digitální vysokorychlostní sítě (RRF – pilíř Digitální infrastruktura), která zahrnuje také Vybudování vysokorychlostního připojení pro další socioekonomické aktéry, vč. objektů státní správy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územní samosprávy.</w:t>
      </w:r>
    </w:p>
    <w:p w14:paraId="7530FAC5" w14:textId="76D88555" w:rsidR="00C42CDB" w:rsidRPr="00535CE0" w:rsidRDefault="00C42CDB" w:rsidP="00174CDE">
      <w:pPr>
        <w:pStyle w:val="Odrka"/>
        <w:rPr>
          <w:rFonts w:cstheme="minorHAnsi"/>
          <w:szCs w:val="20"/>
        </w:rPr>
      </w:pPr>
      <w:r w:rsidRPr="00535CE0">
        <w:rPr>
          <w:rFonts w:cstheme="minorHAnsi"/>
          <w:szCs w:val="20"/>
        </w:rPr>
        <w:t>komponenta 1.</w:t>
      </w:r>
      <w:r w:rsidR="002D4BBC">
        <w:rPr>
          <w:rFonts w:cstheme="minorHAnsi"/>
          <w:szCs w:val="20"/>
        </w:rPr>
        <w:t>6</w:t>
      </w:r>
      <w:r w:rsidRPr="00535CE0">
        <w:rPr>
          <w:rFonts w:cstheme="minorHAnsi"/>
          <w:szCs w:val="20"/>
        </w:rPr>
        <w:t xml:space="preserve"> Zrychlení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digitalizace stavebního řízení (RRF – pilíř Digitální transformace), která zahrnuje vytvoření potřebných informačních systémů, zajištění migrace dat do nových informačních systémů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konsolidace dat spočívající ve vybudování databáze územně analytických podkladů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jednotném standardu pro zajištění potřeb veřejné správy.</w:t>
      </w:r>
    </w:p>
    <w:p w14:paraId="7311475B" w14:textId="77777777" w:rsidR="00C42CDB" w:rsidRPr="00535CE0" w:rsidRDefault="00C42CDB" w:rsidP="00174CDE">
      <w:pPr>
        <w:rPr>
          <w:rFonts w:cstheme="minorHAnsi"/>
          <w:b/>
          <w:szCs w:val="20"/>
        </w:rPr>
      </w:pPr>
      <w:r w:rsidRPr="00535CE0">
        <w:rPr>
          <w:rFonts w:cstheme="minorHAnsi"/>
          <w:b/>
          <w:szCs w:val="20"/>
        </w:rPr>
        <w:t>d) Předchozí snahy</w:t>
      </w:r>
    </w:p>
    <w:p w14:paraId="78EB6E8F" w14:textId="6B801067" w:rsidR="00C42CDB" w:rsidRPr="00535CE0" w:rsidRDefault="00C42CDB" w:rsidP="00174CDE">
      <w:pPr>
        <w:rPr>
          <w:rFonts w:cstheme="minorHAnsi"/>
          <w:szCs w:val="20"/>
        </w:rPr>
      </w:pPr>
      <w:r w:rsidRPr="00535CE0">
        <w:rPr>
          <w:rFonts w:eastAsia="Times New Roman" w:cstheme="minorHAnsi"/>
          <w:szCs w:val="20"/>
        </w:rPr>
        <w:t>V minulých obdobích směřovaly investice do oblasti IT infrastruktury, digitalizace a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digitální transformace veřejné správy, elektronizace zdravotnictví, kybernetické bezpečnosti apod. především ze státního rozpočtu. Od r. 2018 se stává významným koordinačním prvkem těchto investic program Digitální Česko, v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 xml:space="preserve">jehož portfoliu jsou tyto jednotlivé projekty evidovány, </w:t>
      </w:r>
      <w:proofErr w:type="spellStart"/>
      <w:r w:rsidRPr="00535CE0">
        <w:rPr>
          <w:rFonts w:eastAsia="Times New Roman" w:cstheme="minorHAnsi"/>
          <w:szCs w:val="20"/>
        </w:rPr>
        <w:t>prioritizovány</w:t>
      </w:r>
      <w:proofErr w:type="spellEnd"/>
      <w:r w:rsidRPr="00535CE0">
        <w:rPr>
          <w:rFonts w:eastAsia="Times New Roman" w:cstheme="minorHAnsi"/>
          <w:szCs w:val="20"/>
        </w:rPr>
        <w:t xml:space="preserve"> a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následně doporučovány k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financování. Velmi výrazný objem investic byl do této oblasti směřován také z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prostředků E</w:t>
      </w:r>
      <w:r w:rsidR="00D047E4">
        <w:rPr>
          <w:rFonts w:eastAsia="Times New Roman" w:cstheme="minorHAnsi"/>
          <w:szCs w:val="20"/>
        </w:rPr>
        <w:t>RDF</w:t>
      </w:r>
      <w:r w:rsidRPr="00535CE0">
        <w:rPr>
          <w:rFonts w:eastAsia="Times New Roman" w:cstheme="minorHAnsi"/>
          <w:szCs w:val="20"/>
        </w:rPr>
        <w:t>, především z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 xml:space="preserve">IROP (investice do rozvoje </w:t>
      </w:r>
      <w:proofErr w:type="spellStart"/>
      <w:r w:rsidRPr="00535CE0">
        <w:rPr>
          <w:rFonts w:eastAsia="Times New Roman" w:cstheme="minorHAnsi"/>
          <w:szCs w:val="20"/>
        </w:rPr>
        <w:t>eGovernmentu</w:t>
      </w:r>
      <w:proofErr w:type="spellEnd"/>
      <w:r w:rsidRPr="00535CE0">
        <w:rPr>
          <w:rFonts w:eastAsia="Times New Roman" w:cstheme="minorHAnsi"/>
          <w:szCs w:val="20"/>
        </w:rPr>
        <w:t>, elektronického zdravotnictví, kybernetické bezpečnosti, komunikační infrastruktury apod.). Celkově bylo v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období 2014-2020 podpořeno 226 projektů v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celkovém objemu 2,5 mld. Kč. Významnými projekty podpořenými z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IROP bylo Zvyšování kybernetické bezpečnosti nemocnic v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 xml:space="preserve">jednotlivých regionech ČR (např. FN Brno, FN Ostrava, FN Plzeň, Městská nemocnice Ostrava, …). Mezi významné infrastrukturní projekty patří např. Vybudování základní resortní infrastruktury </w:t>
      </w:r>
      <w:proofErr w:type="spellStart"/>
      <w:r w:rsidRPr="00535CE0">
        <w:rPr>
          <w:rFonts w:eastAsia="Times New Roman" w:cstheme="minorHAnsi"/>
          <w:szCs w:val="20"/>
        </w:rPr>
        <w:t>eHealth</w:t>
      </w:r>
      <w:proofErr w:type="spellEnd"/>
      <w:r w:rsidRPr="00535CE0">
        <w:rPr>
          <w:rFonts w:eastAsia="Times New Roman" w:cstheme="minorHAnsi"/>
          <w:szCs w:val="20"/>
        </w:rPr>
        <w:t xml:space="preserve"> – Informační a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datové resortní rozhraní, na jehož základech staví i</w:t>
      </w:r>
      <w:r w:rsidR="00EE51EC" w:rsidRPr="00535CE0">
        <w:rPr>
          <w:rFonts w:eastAsia="Times New Roman" w:cstheme="minorHAnsi"/>
          <w:szCs w:val="20"/>
        </w:rPr>
        <w:t> </w:t>
      </w:r>
      <w:r w:rsidRPr="00535CE0">
        <w:rPr>
          <w:rFonts w:eastAsia="Times New Roman" w:cstheme="minorHAnsi"/>
          <w:szCs w:val="20"/>
        </w:rPr>
        <w:t>některé projekty Národního plánu obnovy</w:t>
      </w:r>
      <w:r w:rsidRPr="00535CE0">
        <w:rPr>
          <w:rFonts w:cstheme="minorHAnsi"/>
          <w:szCs w:val="20"/>
        </w:rPr>
        <w:t>.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těchto „historických“ projektech byly položeny kvalitní základy pro další rozvoj. Komponenta 1.2 Digitální systémy veřejné správy tyto dřívější snahy akceleruje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výrazně přispívá k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dalšímu rozvoji např. vytvářením předpokladů pro realizaci projektů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 xml:space="preserve">rámci výzev (především IROP) nového období 2021-2027. </w:t>
      </w:r>
    </w:p>
    <w:p w14:paraId="4E190F5C" w14:textId="0CFCAECB" w:rsidR="00EB5176" w:rsidRDefault="00386254" w:rsidP="00EB5176">
      <w:pPr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e</w:t>
      </w:r>
      <w:r w:rsidR="00EB5176" w:rsidRPr="00535CE0">
        <w:rPr>
          <w:rFonts w:cstheme="minorHAnsi"/>
          <w:b/>
          <w:szCs w:val="20"/>
        </w:rPr>
        <w:t xml:space="preserve">) </w:t>
      </w:r>
      <w:r>
        <w:rPr>
          <w:rFonts w:cstheme="minorHAnsi"/>
          <w:b/>
          <w:szCs w:val="20"/>
        </w:rPr>
        <w:t>Rovný přístup</w:t>
      </w:r>
    </w:p>
    <w:p w14:paraId="7AFD5191" w14:textId="20B168FE" w:rsidR="00C42CDB" w:rsidRPr="00535CE0" w:rsidRDefault="00770320" w:rsidP="00174CDE">
      <w:pPr>
        <w:rPr>
          <w:rFonts w:eastAsiaTheme="majorEastAsia" w:cstheme="minorHAnsi"/>
          <w:b/>
          <w:szCs w:val="20"/>
        </w:rPr>
      </w:pPr>
      <w:r w:rsidRPr="00AD592F">
        <w:rPr>
          <w:rFonts w:eastAsia="Times New Roman" w:cstheme="minorHAnsi"/>
          <w:szCs w:val="20"/>
        </w:rPr>
        <w:t>Při</w:t>
      </w:r>
      <w:r w:rsidR="00386254" w:rsidRPr="00AD592F">
        <w:rPr>
          <w:rFonts w:eastAsia="Times New Roman" w:cstheme="minorHAnsi"/>
          <w:szCs w:val="20"/>
        </w:rPr>
        <w:t xml:space="preserve"> vývoj</w:t>
      </w:r>
      <w:r w:rsidRPr="00AD592F">
        <w:rPr>
          <w:rFonts w:eastAsia="Times New Roman" w:cstheme="minorHAnsi"/>
          <w:szCs w:val="20"/>
        </w:rPr>
        <w:t>i</w:t>
      </w:r>
      <w:r w:rsidR="00386254" w:rsidRPr="00AD592F">
        <w:rPr>
          <w:rFonts w:eastAsia="Times New Roman" w:cstheme="minorHAnsi"/>
          <w:szCs w:val="20"/>
        </w:rPr>
        <w:t xml:space="preserve"> a implementac</w:t>
      </w:r>
      <w:r w:rsidRPr="00AD592F">
        <w:rPr>
          <w:rFonts w:eastAsia="Times New Roman" w:cstheme="minorHAnsi"/>
          <w:szCs w:val="20"/>
        </w:rPr>
        <w:t>i</w:t>
      </w:r>
      <w:r w:rsidR="00386254" w:rsidRPr="00AD592F">
        <w:rPr>
          <w:rFonts w:eastAsia="Times New Roman" w:cstheme="minorHAnsi"/>
          <w:szCs w:val="20"/>
        </w:rPr>
        <w:t xml:space="preserve"> nových či inovovaných informačních systémů ve všech výše uvedených reformách a investicích </w:t>
      </w:r>
      <w:r w:rsidRPr="00AD592F">
        <w:rPr>
          <w:rFonts w:eastAsia="Times New Roman" w:cstheme="minorHAnsi"/>
          <w:szCs w:val="20"/>
        </w:rPr>
        <w:t>budou dodrže</w:t>
      </w:r>
      <w:r w:rsidR="003701A4" w:rsidRPr="00AD592F">
        <w:rPr>
          <w:rFonts w:eastAsia="Times New Roman" w:cstheme="minorHAnsi"/>
          <w:szCs w:val="20"/>
        </w:rPr>
        <w:t>ny zásady přístupnosti a použitelnosti definované národní legislativou (</w:t>
      </w:r>
      <w:r w:rsidR="00F51497" w:rsidRPr="00AD592F">
        <w:rPr>
          <w:rFonts w:eastAsia="Times New Roman" w:cstheme="minorHAnsi"/>
          <w:szCs w:val="20"/>
        </w:rPr>
        <w:t xml:space="preserve">zákonem č. 99/2019 Sb., o přístupnosti internetových stránek a mobilních aplikací a zákonem č. 365/2000 Sb., o informačních systémech veřejné správy, které provádí </w:t>
      </w:r>
      <w:r w:rsidR="005B2771" w:rsidRPr="00AD592F">
        <w:rPr>
          <w:rFonts w:eastAsia="Times New Roman" w:cstheme="minorHAnsi"/>
          <w:szCs w:val="20"/>
        </w:rPr>
        <w:t>Směrnici Evropského parlamentu a Rady (EU) 2016/2102 ze dne 26. října 2016, o přístupnosti internetových stránek a mobilních aplikací</w:t>
      </w:r>
      <w:r w:rsidR="005B2771">
        <w:rPr>
          <w:rFonts w:eastAsia="Times New Roman" w:cstheme="minorHAnsi"/>
          <w:szCs w:val="20"/>
        </w:rPr>
        <w:t>).</w:t>
      </w:r>
      <w:r w:rsidR="009B5F0F">
        <w:rPr>
          <w:rFonts w:cstheme="minorHAnsi"/>
          <w:szCs w:val="20"/>
        </w:rPr>
        <w:t xml:space="preserve"> </w:t>
      </w:r>
      <w:r w:rsidR="00C42CDB" w:rsidRPr="00535CE0">
        <w:rPr>
          <w:rFonts w:cstheme="minorHAnsi"/>
          <w:szCs w:val="20"/>
        </w:rPr>
        <w:br w:type="page"/>
      </w:r>
    </w:p>
    <w:p w14:paraId="632F1DFC" w14:textId="334C6D13" w:rsidR="00C42CDB" w:rsidRPr="00535CE0" w:rsidRDefault="00C42CDB" w:rsidP="00725693">
      <w:pPr>
        <w:pStyle w:val="K-1"/>
        <w:rPr>
          <w:sz w:val="20"/>
          <w:szCs w:val="20"/>
        </w:rPr>
      </w:pPr>
      <w:r w:rsidRPr="00535CE0">
        <w:rPr>
          <w:sz w:val="20"/>
          <w:szCs w:val="20"/>
        </w:rPr>
        <w:lastRenderedPageBreak/>
        <w:t>3. Popis reforem a</w:t>
      </w:r>
      <w:r w:rsidR="00EE51EC" w:rsidRPr="00535CE0">
        <w:rPr>
          <w:sz w:val="20"/>
          <w:szCs w:val="20"/>
        </w:rPr>
        <w:t> </w:t>
      </w:r>
      <w:r w:rsidRPr="00535CE0">
        <w:rPr>
          <w:sz w:val="20"/>
          <w:szCs w:val="20"/>
        </w:rPr>
        <w:t xml:space="preserve">investic komponenty </w:t>
      </w:r>
    </w:p>
    <w:p w14:paraId="219E458F" w14:textId="77777777" w:rsidR="00C42CDB" w:rsidRPr="00535CE0" w:rsidRDefault="00C42CDB" w:rsidP="00174CDE">
      <w:pPr>
        <w:rPr>
          <w:rFonts w:cstheme="minorHAnsi"/>
          <w:b/>
          <w:szCs w:val="20"/>
        </w:rPr>
      </w:pPr>
      <w:r w:rsidRPr="00535CE0">
        <w:rPr>
          <w:rFonts w:cstheme="minorHAnsi"/>
          <w:b/>
          <w:szCs w:val="20"/>
        </w:rPr>
        <w:t xml:space="preserve">a) Popis reforem </w:t>
      </w:r>
    </w:p>
    <w:p w14:paraId="4FDF3FD6" w14:textId="4EF098BF" w:rsidR="00C42CDB" w:rsidRPr="00535CE0" w:rsidRDefault="00174CDE" w:rsidP="00174CDE">
      <w:pPr>
        <w:rPr>
          <w:rFonts w:cstheme="minorHAnsi"/>
          <w:b/>
          <w:szCs w:val="20"/>
        </w:rPr>
      </w:pPr>
      <w:r w:rsidRPr="00535CE0">
        <w:rPr>
          <w:rFonts w:cstheme="minorHAnsi"/>
          <w:b/>
          <w:szCs w:val="20"/>
        </w:rPr>
        <w:t>K</w:t>
      </w:r>
      <w:r w:rsidR="00C42CDB" w:rsidRPr="00535CE0">
        <w:rPr>
          <w:rFonts w:cstheme="minorHAnsi"/>
          <w:b/>
          <w:szCs w:val="20"/>
        </w:rPr>
        <w:t xml:space="preserve">ompetenční centra pro podporu </w:t>
      </w:r>
      <w:proofErr w:type="spellStart"/>
      <w:r w:rsidR="00C42CDB" w:rsidRPr="00535CE0">
        <w:rPr>
          <w:rFonts w:cstheme="minorHAnsi"/>
          <w:b/>
          <w:szCs w:val="20"/>
        </w:rPr>
        <w:t>eGovernmentu</w:t>
      </w:r>
      <w:proofErr w:type="spell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C42CDB" w:rsidRPr="00535CE0" w14:paraId="6F44E80B" w14:textId="77777777" w:rsidTr="00C42CDB">
        <w:tc>
          <w:tcPr>
            <w:tcW w:w="2405" w:type="dxa"/>
          </w:tcPr>
          <w:p w14:paraId="42A0DA1F" w14:textId="77777777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2FDCA7E3" w14:textId="13681968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Nedostatečně koordinovaný rozvoj digitalizace veřejné správy vedoucí k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zdlouhavé realizaci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neefektivnímu vynakládání státních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dotačních prostředků. </w:t>
            </w:r>
          </w:p>
          <w:p w14:paraId="3F217406" w14:textId="5585E381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Nepřipravenost či omezená připravenost centrálních institucí na výzvy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požadavky digitalizace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zaostávání ČR vůči EU ve vytváření digitálních služeb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jejich adopci konečnými uživateli. </w:t>
            </w:r>
          </w:p>
          <w:p w14:paraId="016CEBBE" w14:textId="7EA60194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Nedostatečná metodická podpora úřadů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institucí veřejné správy před,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průběhu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po implementaci digitální služby. Tato podpora poskytne návody pro realizaci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vytvoří povinné standardy.</w:t>
            </w:r>
          </w:p>
          <w:p w14:paraId="709C2095" w14:textId="3892FDE8" w:rsidR="00801B1F" w:rsidRPr="00535CE0" w:rsidRDefault="00096511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AD592F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Nedostatečn</w:t>
            </w:r>
            <w:r w:rsidR="001B7F39" w:rsidRPr="00AD592F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á</w:t>
            </w:r>
            <w:r w:rsidRPr="00AD592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801B1F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práce s existujícími daty vč. nízké míry </w:t>
            </w:r>
            <w:r w:rsidRPr="00AD592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rozhodování na </w:t>
            </w:r>
            <w:r w:rsidR="00801B1F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jejich </w:t>
            </w:r>
            <w:r w:rsidRPr="00AD592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základě </w:t>
            </w:r>
            <w:r w:rsidR="00801B1F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v rámci </w:t>
            </w:r>
            <w:r w:rsidR="00907769" w:rsidRPr="00AD592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veřejné správy</w:t>
            </w:r>
            <w:r w:rsidR="00801B1F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jako celku vč. aktivit v oblasti digitalizace a digitální transformace. </w:t>
            </w:r>
          </w:p>
          <w:p w14:paraId="6FBAE089" w14:textId="0B94F5C7" w:rsidR="00C42CDB" w:rsidRPr="00535CE0" w:rsidRDefault="00C42CDB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Nedostatek vysoce kvalifikovaných specialistů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IT na jednotlivých úřadech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institucích.</w:t>
            </w:r>
          </w:p>
        </w:tc>
      </w:tr>
      <w:tr w:rsidR="00C42CDB" w:rsidRPr="00535CE0" w14:paraId="55EBE87E" w14:textId="77777777" w:rsidTr="00C42CDB">
        <w:tc>
          <w:tcPr>
            <w:tcW w:w="2405" w:type="dxa"/>
          </w:tcPr>
          <w:p w14:paraId="4186ED00" w14:textId="77777777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703EEE57" w14:textId="1714B64E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Zajistit absorpční kapacitu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úspěšnost realizace programů NPO, projektů komponent 1.1 Digitální služby pro občany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firmy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1.2 Digitální systémy veřejné správy Národního plánu obnovy prostřednictvím vysoce odborných služeb poskytovaných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oblastech, kde jednotlivým institucím či úřadům chybí příslušné kompetence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vysoce kvalifikovaní specialisté (a to především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oblastech architektury, kybernetické bezpečnosti, UX/UI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projektového managementu). </w:t>
            </w:r>
          </w:p>
          <w:p w14:paraId="394A7B8A" w14:textId="1A9DC8B4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Zajistit naplnění cílů strategických programů digitalizace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digitální transformace (především programu Digitální Česko, Strategie Zdraví 2030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Resortní strategie pro rozvoj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eJustice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).</w:t>
            </w:r>
          </w:p>
          <w:p w14:paraId="79722164" w14:textId="76F17716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Vyřešit výše definované výzvy ukotvením kompetenčních center do struktur veřejné správy tak, aby mohly poskytovat své služby širokému spektru úřadů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institucí. Kapacitně rozšířit možnosti poskytovaných služeb těmito centry.</w:t>
            </w:r>
          </w:p>
          <w:p w14:paraId="2A77E560" w14:textId="55DF2885" w:rsidR="00C42CDB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Zajistit odpovídající standardizační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metodickou základnu vč. podpory její implementace na jednotlivých orgánech veřejné správy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vytvořit nezbytnou podporu pro realizaci cílů jednotlivých resortů ČR.</w:t>
            </w:r>
          </w:p>
          <w:p w14:paraId="6D225D1E" w14:textId="5BC1CFB9" w:rsidR="00907769" w:rsidRPr="00535CE0" w:rsidRDefault="00801B1F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S využitím existující datové základny z</w:t>
            </w:r>
            <w:r w:rsidR="00907769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ajistit </w:t>
            </w:r>
            <w:r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kompetence pro tvorbu podkladů pro kvalifikované rozhodování na základě dat především v oblasti digitalizace a digitální transformace a postupný přenos této kompetence i do dalších oblastí výkonu veřejné správy. </w:t>
            </w:r>
          </w:p>
          <w:p w14:paraId="54A76B04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Oblast resortu zdravotnictví: </w:t>
            </w:r>
          </w:p>
          <w:p w14:paraId="35C15BCF" w14:textId="742BADF6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Vytvořit funkční ekosystém elektronizace zdravotnictví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ČR prostřednictvím p</w:t>
            </w:r>
            <w:r w:rsidRPr="00535CE0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osílení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 k</w:t>
            </w:r>
            <w:r w:rsidRPr="00535CE0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ompetencí</w:t>
            </w:r>
            <w:r w:rsidRPr="00535CE0">
              <w:rPr>
                <w:rFonts w:asciiTheme="minorHAnsi" w:hAnsiTheme="minorHAnsi" w:cstheme="minorHAnsi"/>
                <w:iCs w:val="0"/>
                <w:color w:val="auto"/>
                <w:sz w:val="20"/>
                <w:szCs w:val="20"/>
              </w:rPr>
              <w:t xml:space="preserve"> 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Národního centra elektronického zdravotnictví (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NCeZ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) dle doporučení Evropské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eHealth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 Network EHEALTH NETWORK RECOMMENDATIONS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for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the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Development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of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National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 Digital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Health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Networks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 in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the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 EU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Member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States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 z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listopadu 2020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dle strategie WHO vytvořit společný rámec „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National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eHealth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Strategy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Toolkit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“ pro rozvoj interoperability systémů ve zdravotnictví. </w:t>
            </w:r>
          </w:p>
        </w:tc>
      </w:tr>
      <w:tr w:rsidR="00C42CDB" w:rsidRPr="00535CE0" w14:paraId="076022D5" w14:textId="77777777" w:rsidTr="00C42CDB">
        <w:tc>
          <w:tcPr>
            <w:tcW w:w="2405" w:type="dxa"/>
          </w:tcPr>
          <w:p w14:paraId="564310E0" w14:textId="77777777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65EB38D0" w14:textId="226E385A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Reforma je složena z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pěti vzájemně propojených projektů. Jejich koordinaci bude vykonávat programová kancelář Digitální Česko ve spolupráci s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Ministerstvem vnitra jako gestorem digitalizace veřejné správy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Ministerstvem zdravotnictví jako gestorem elektronizace zdravotnictví. </w:t>
            </w:r>
          </w:p>
          <w:p w14:paraId="0BEF82CB" w14:textId="3080F7C2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Programová kancelář bude mít ve vrcholných řídících strukturách projektů svého zástupce, který bude monitorovat vývoj projektu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čase vč. stavu naplňování jeho 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lastRenderedPageBreak/>
              <w:t>indikátorů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v případě problémů je bude neprodleně eskalovat na úroveň vládního zmocněnce pro IT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digitalizaci. Vedení programové kanceláře bude o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běhu projektu informováno na pravidelné cca měsíční bázi.</w:t>
            </w:r>
          </w:p>
          <w:p w14:paraId="7E79698D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Oblast zdravotnictví:</w:t>
            </w:r>
          </w:p>
          <w:p w14:paraId="12D35530" w14:textId="4476F092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Projekt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NCeZ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 je vyčleněn z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ostatních kompetenčních center především z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důvodu výrazné odlišnosti oproti ostatním kompetenčním centrům, neboť zdravotnictví je svým charakterem výrazně odlišné od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eGovernmentu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 zvláště pak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širokém propojení státních, veřejných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komerčních subjektů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vyžaduje výrazné specifické kompetence.</w:t>
            </w:r>
          </w:p>
          <w:p w14:paraId="5077DBCB" w14:textId="75213780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b/>
                <w:iCs w:val="0"/>
                <w:color w:val="auto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Ministerstvo zdravotnictví posílí svou kompetenci zřízením externí organizace, která následně zajistí odborné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projektové kapacity. Tato organizace bude součástí ekosystému rozvoje elektronizace, bude řízena Ministerstvem zdravotnictví, které bude prostřednictvím této organizace poskytovat podporu jednotlivých organizací ve své přímé působnosti i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poskytovatelům zdravotních služeb při realizaci programů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projektů Národního plánu obnovy (následně pak i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IROP)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realizaci akčních plánů elektronizace zdravotnictví, které jsou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souladu s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nadřazenými strategiemi. </w:t>
            </w:r>
            <w:r w:rsidRPr="00535CE0">
              <w:rPr>
                <w:rFonts w:asciiTheme="minorHAnsi" w:hAnsiTheme="minorHAnsi" w:cstheme="minorHAnsi"/>
                <w:bCs/>
                <w:i w:val="0"/>
                <w:color w:val="auto"/>
                <w:sz w:val="20"/>
                <w:szCs w:val="20"/>
              </w:rPr>
              <w:t>V</w:t>
            </w:r>
            <w:r w:rsidR="00EE51EC" w:rsidRPr="00535CE0">
              <w:rPr>
                <w:rFonts w:asciiTheme="minorHAnsi" w:hAnsiTheme="minorHAnsi" w:cstheme="minorHAnsi"/>
                <w:bCs/>
                <w:i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bCs/>
                <w:i w:val="0"/>
                <w:color w:val="auto"/>
                <w:sz w:val="20"/>
                <w:szCs w:val="20"/>
              </w:rPr>
              <w:t>rámci NPO se předpokládá zapojení většiny poskytovatelů zdravotních služeb, což vyžaduje značnou přípravu a</w:t>
            </w:r>
            <w:r w:rsidR="00EE51EC" w:rsidRPr="00535CE0">
              <w:rPr>
                <w:rFonts w:asciiTheme="minorHAnsi" w:hAnsiTheme="minorHAnsi" w:cstheme="minorHAnsi"/>
                <w:bCs/>
                <w:i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bCs/>
                <w:i w:val="0"/>
                <w:color w:val="auto"/>
                <w:sz w:val="20"/>
                <w:szCs w:val="20"/>
              </w:rPr>
              <w:t>koordinaci těchto subjektů, tak aby byly dosaženy nastavené cíle a</w:t>
            </w:r>
            <w:r w:rsidR="00EE51EC" w:rsidRPr="00535CE0">
              <w:rPr>
                <w:rFonts w:asciiTheme="minorHAnsi" w:hAnsiTheme="minorHAnsi" w:cstheme="minorHAnsi"/>
                <w:bCs/>
                <w:i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bCs/>
                <w:i w:val="0"/>
                <w:color w:val="auto"/>
                <w:sz w:val="20"/>
                <w:szCs w:val="20"/>
              </w:rPr>
              <w:t>parametry.</w:t>
            </w:r>
            <w:r w:rsidRPr="00535CE0">
              <w:rPr>
                <w:rFonts w:asciiTheme="minorHAnsi" w:hAnsiTheme="minorHAnsi" w:cstheme="minorHAnsi"/>
                <w:b/>
                <w:iCs w:val="0"/>
                <w:color w:val="auto"/>
                <w:sz w:val="20"/>
                <w:szCs w:val="20"/>
              </w:rPr>
              <w:t xml:space="preserve"> </w:t>
            </w:r>
          </w:p>
          <w:p w14:paraId="2137CDEB" w14:textId="3563D238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Pro zajištění chodu této organizace předpokládáme nábor cca 15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seniorních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expertů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oblastech zdravotnické informatiky,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E</w:t>
            </w:r>
            <w:r w:rsidRPr="00535CE0">
              <w:rPr>
                <w:rStyle w:val="K-TextChar"/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nterprise</w:t>
            </w:r>
            <w:proofErr w:type="spellEnd"/>
            <w:r w:rsidRPr="00535CE0">
              <w:rPr>
                <w:rStyle w:val="K-TextChar"/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 Architektury, vytváření národních standardů elektronizace, UX/UI, kybernetické bezpečnosti, projektového řízení, legislativy apod.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Tito pracovníci budou své služby poskytovat Ministerstvu zdravotnictví, jím zřizovaným organizacím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poskytovatelům 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zdravotní</w:t>
            </w:r>
            <w:r w:rsidRPr="00535CE0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ch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služeb. Nebudou však administrátory ani administrativní podporou pro Národní plán obnovy. </w:t>
            </w:r>
          </w:p>
          <w:p w14:paraId="74E37BAC" w14:textId="36517B36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Výstupy práce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bude specifikace návrhů na elektronizaci agend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postupů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resortu zdravotnictví, 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p</w:t>
            </w:r>
            <w:r w:rsidRPr="00535CE0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odpora</w:t>
            </w:r>
            <w:r w:rsidRPr="00535CE0">
              <w:rPr>
                <w:rFonts w:asciiTheme="minorHAnsi" w:hAnsiTheme="minorHAnsi" w:cstheme="minorHAnsi"/>
                <w:i w:val="0"/>
                <w:sz w:val="20"/>
                <w:szCs w:val="20"/>
              </w:rPr>
              <w:t xml:space="preserve"> 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řízení procesů standardizace elektronického zdravotnictví pro zajištění interoperability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specifikaci rozhraní, use case profilů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vytváření architektur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souladu s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pravidly stanovenými Národním architektonickým plánem ČR.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bude začleněno do ekosystému elektronizace vedené klíčovými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stakeholdery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autoritami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čele s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Ministerstvem zdravotnictví, tyto autority se budou podílet na rozhodování o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realizaci předkládaných návrhů.</w:t>
            </w:r>
          </w:p>
          <w:p w14:paraId="560C6461" w14:textId="30F3EDD0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</w:pP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NCeZ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 bude provádět dohled nad implementací jednotlivých projektů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elektronických služeb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naplň</w:t>
            </w:r>
            <w:r w:rsidRPr="00535CE0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ováním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 stanovených cílů dle akčních plánů.</w:t>
            </w:r>
          </w:p>
          <w:p w14:paraId="3473B07C" w14:textId="3207A30F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Součástí vykonávaných činností bude zajištění udržitelné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kontinuální mezinárodní spolupráce dle doporučení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regulací stanovených EU.</w:t>
            </w:r>
          </w:p>
          <w:p w14:paraId="55465751" w14:textId="41ACBC94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Projekt Kompetenčního centra kybernetické bezpečnosti se zaměřuje na rozvoj již existujících bezpečnostních struktur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MVČR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NAKIT,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s.p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. s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cílem podpořit zajištění strategických cílů kybernetické bezpečnosti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rámci digitalizace státní správy/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eGovernmentu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. Jedná se o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pořízení nových moderních bezpečnostních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dohledových technologií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nástrojů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vytvoření nových kapacit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rozvoj nových kompetencí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oblasti zajištění bezpečné infrastruktury státních systémů.</w:t>
            </w:r>
          </w:p>
          <w:p w14:paraId="0690A934" w14:textId="7DCD251D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V rámci rozvoje schopností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kapacit kompetenčního centra se projekt zaměřuje také na rozvoj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oblasti personální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podobě navýšení počtu bezpečnostních specialistů, jejich specializaci,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především zajištění potřebných kompetencí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oblasti kybernetické bezpečnosti včetně vzdělávání. Součástí rozvoje bude i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oblast řešení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DevSecOps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.</w:t>
            </w:r>
          </w:p>
          <w:p w14:paraId="76B7DD25" w14:textId="22A802E5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Projekt Kompetenčního centra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eGovernmentu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je zaměřen především na personální posílení již existujícího kompetenčního centra, které se aktuálně zaměřuje dominantně na poradenství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oblasti informačních koncepcí jednotlivých orgánů veřejné správy. Kompetence centra budou výrazně posíleny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oblasti architektury (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enterprise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, business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solution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), uživatelské přívětivosti (UX/UI)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projektového řízení. Centrum pak bude schopné poskytovat konzultační kapacity při realizaci jednotlivých projektů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zároveň i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jednotlivé projekty řídit (v případě orgánů, kde interní kapacity nejsou dostatečné). 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lastRenderedPageBreak/>
              <w:t>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rámci Národního plánu obnovy je předloženo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jednotlivých komponentách reformách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investicích více jak 100 projektů. Na základě konzultací s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jednotlivými gestory je vhodné u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cca </w:t>
            </w:r>
            <w:proofErr w:type="gram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30%</w:t>
            </w:r>
            <w:proofErr w:type="gram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projektů poskytnout konzultační či realizační podporu. Tuto podporu je možné nakoupit na volném trhu.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okamžiku ukončení projektu či jeho části pak získané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know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how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zůstává u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daného komerčního subjektu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není zpět přeneseno do veřejné správy. Na tomto základě nedochází k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růstu kompetencí, ale je naopak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oblasti konzultací vytvářen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vendor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lock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-in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omezována suverenita veřejné správy.</w:t>
            </w:r>
          </w:p>
          <w:p w14:paraId="06ABC98F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Seznam jednotlivých projektů reformy viz Příloha</w:t>
            </w:r>
          </w:p>
        </w:tc>
      </w:tr>
      <w:tr w:rsidR="00C42CDB" w:rsidRPr="00535CE0" w14:paraId="29A8303C" w14:textId="77777777" w:rsidTr="00C42CDB">
        <w:trPr>
          <w:trHeight w:val="70"/>
        </w:trPr>
        <w:tc>
          <w:tcPr>
            <w:tcW w:w="2405" w:type="dxa"/>
          </w:tcPr>
          <w:p w14:paraId="0E24FB7B" w14:textId="37864622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Spolupráce a</w:t>
            </w:r>
            <w:r w:rsidR="00EE51EC" w:rsidRPr="00535CE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zapojení zúčastněných stran</w:t>
            </w:r>
          </w:p>
        </w:tc>
        <w:tc>
          <w:tcPr>
            <w:tcW w:w="7223" w:type="dxa"/>
          </w:tcPr>
          <w:p w14:paraId="3BD056B4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Hlavními nositeli jednotlivých projektů jsou:</w:t>
            </w:r>
          </w:p>
          <w:p w14:paraId="429B19FF" w14:textId="77777777" w:rsidR="00C42CDB" w:rsidRPr="00535CE0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Ministerstvo vnitra</w:t>
            </w:r>
          </w:p>
          <w:p w14:paraId="534126F9" w14:textId="77777777" w:rsidR="00C42CDB" w:rsidRPr="00535CE0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M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inisterstvo zdravotnictví</w:t>
            </w:r>
          </w:p>
          <w:p w14:paraId="05810869" w14:textId="77777777" w:rsidR="00C42CDB" w:rsidRPr="00535CE0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NAKIT,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s.p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.</w:t>
            </w:r>
          </w:p>
          <w:p w14:paraId="422C517A" w14:textId="77777777" w:rsidR="00C42CDB" w:rsidRPr="00535CE0" w:rsidRDefault="00C42CDB" w:rsidP="003466D7">
            <w:pPr>
              <w:pStyle w:val="K-TextInfo"/>
              <w:numPr>
                <w:ilvl w:val="0"/>
                <w:numId w:val="23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Do realizace projektů budou dále zapojeni:</w:t>
            </w:r>
          </w:p>
          <w:p w14:paraId="6DAFE277" w14:textId="79ADC616" w:rsidR="008E700B" w:rsidRDefault="008E700B" w:rsidP="003466D7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Národní úřad pro kybernetickou </w:t>
            </w:r>
            <w:r w:rsidR="00772309">
              <w:rPr>
                <w:rFonts w:asciiTheme="minorHAnsi" w:hAnsiTheme="minorHAnsi" w:cstheme="minorHAnsi"/>
                <w:sz w:val="20"/>
                <w:szCs w:val="20"/>
              </w:rPr>
              <w:t xml:space="preserve">a informační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bezpečnost</w:t>
            </w:r>
          </w:p>
          <w:p w14:paraId="393E8B0A" w14:textId="6EB3401F" w:rsidR="00C42CDB" w:rsidRPr="00535CE0" w:rsidRDefault="00C42CDB" w:rsidP="003466D7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Ministerstvo dopravy</w:t>
            </w:r>
          </w:p>
          <w:p w14:paraId="2F68D0AE" w14:textId="77777777" w:rsidR="00C42CDB" w:rsidRPr="00535CE0" w:rsidRDefault="00C42CDB" w:rsidP="003466D7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 xml:space="preserve">Ministerstvo financí </w:t>
            </w:r>
          </w:p>
          <w:p w14:paraId="631A7914" w14:textId="77777777" w:rsidR="00C42CDB" w:rsidRPr="00535CE0" w:rsidRDefault="00C42CDB" w:rsidP="003466D7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Ministerstvo kultury</w:t>
            </w:r>
          </w:p>
          <w:p w14:paraId="09A3D441" w14:textId="0D1EDACE" w:rsidR="00C42CDB" w:rsidRPr="00535CE0" w:rsidRDefault="00C42CDB" w:rsidP="003466D7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Ministerstvo práce a</w:t>
            </w:r>
            <w:r w:rsidR="00EE51EC" w:rsidRPr="00535CE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sociálních věcí</w:t>
            </w:r>
          </w:p>
          <w:p w14:paraId="6D1268E0" w14:textId="77777777" w:rsidR="00C42CDB" w:rsidRPr="00535CE0" w:rsidRDefault="00C42CDB" w:rsidP="003466D7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Ministerstvo pro místní rozvoj</w:t>
            </w:r>
          </w:p>
          <w:p w14:paraId="764E3A1B" w14:textId="2DF76963" w:rsidR="00C42CDB" w:rsidRPr="00535CE0" w:rsidRDefault="00C42CDB" w:rsidP="003466D7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Ministerstvo průmyslu a</w:t>
            </w:r>
            <w:r w:rsidR="00EE51EC" w:rsidRPr="00535CE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 xml:space="preserve">obchodu </w:t>
            </w:r>
          </w:p>
          <w:p w14:paraId="32180AD5" w14:textId="77777777" w:rsidR="00C42CDB" w:rsidRPr="00535CE0" w:rsidRDefault="00C42CDB" w:rsidP="003466D7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Ministerstvo spravedlnosti</w:t>
            </w:r>
          </w:p>
          <w:p w14:paraId="5F644BF1" w14:textId="269EB8A6" w:rsidR="00C42CDB" w:rsidRPr="00535CE0" w:rsidRDefault="00C42CDB" w:rsidP="003466D7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Ministerstvo školství, mládeže a</w:t>
            </w:r>
            <w:r w:rsidR="00EE51EC" w:rsidRPr="00535CE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tělovýchovy</w:t>
            </w:r>
          </w:p>
          <w:p w14:paraId="25C25018" w14:textId="77777777" w:rsidR="00C42CDB" w:rsidRPr="00535CE0" w:rsidRDefault="00C42CDB" w:rsidP="003466D7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Ministerstvo zahraničních věcí</w:t>
            </w:r>
          </w:p>
          <w:p w14:paraId="2A875FA5" w14:textId="77777777" w:rsidR="00C42CDB" w:rsidRPr="00535CE0" w:rsidRDefault="00C42CDB" w:rsidP="003466D7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Ministerstvo zdravotnictví</w:t>
            </w:r>
          </w:p>
          <w:p w14:paraId="266CF5E4" w14:textId="77777777" w:rsidR="00C42CDB" w:rsidRPr="00535CE0" w:rsidRDefault="00C42CDB" w:rsidP="003466D7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Ministerstvo zemědělství</w:t>
            </w:r>
          </w:p>
          <w:p w14:paraId="3D21E11A" w14:textId="77777777" w:rsidR="00C42CDB" w:rsidRPr="00535CE0" w:rsidRDefault="00C42CDB" w:rsidP="003466D7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Ministerstvo životního prostředí</w:t>
            </w:r>
          </w:p>
          <w:p w14:paraId="57C581E7" w14:textId="77777777" w:rsidR="00C42CDB" w:rsidRPr="00535CE0" w:rsidRDefault="00C42CDB" w:rsidP="003466D7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Jednotlivé krajské úřady</w:t>
            </w:r>
          </w:p>
          <w:p w14:paraId="4F15647E" w14:textId="77777777" w:rsidR="00C42CDB" w:rsidRPr="00535CE0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Municipality</w:t>
            </w:r>
          </w:p>
          <w:p w14:paraId="64FA6E3D" w14:textId="77777777" w:rsidR="00C42CDB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Poskytovatelé zdravotnických služeb</w:t>
            </w:r>
          </w:p>
          <w:p w14:paraId="02BD0CFE" w14:textId="3576E215" w:rsidR="004B5B33" w:rsidRPr="00535CE0" w:rsidRDefault="004B5B33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Státní pokladna – centrum sdílených služeb, </w:t>
            </w:r>
            <w:proofErr w:type="spellStart"/>
            <w: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s.p</w:t>
            </w:r>
            <w:proofErr w:type="spellEnd"/>
            <w: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.</w:t>
            </w:r>
          </w:p>
        </w:tc>
      </w:tr>
      <w:tr w:rsidR="00C42CDB" w:rsidRPr="00535CE0" w14:paraId="0E818A43" w14:textId="77777777" w:rsidTr="00C42CDB">
        <w:tc>
          <w:tcPr>
            <w:tcW w:w="2405" w:type="dxa"/>
          </w:tcPr>
          <w:p w14:paraId="344F3DF9" w14:textId="568C4D22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Překážky a</w:t>
            </w:r>
            <w:r w:rsidR="00EE51EC" w:rsidRPr="00535CE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rizika</w:t>
            </w:r>
          </w:p>
        </w:tc>
        <w:tc>
          <w:tcPr>
            <w:tcW w:w="7223" w:type="dxa"/>
          </w:tcPr>
          <w:p w14:paraId="5F095192" w14:textId="19CDE2B6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Rizikem je nedostatečná koordinace ústředních orgánů při schvalování vzniku doposud neexistujících kompetenčních center (zejména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období přetrvávající pandemie).</w:t>
            </w:r>
          </w:p>
          <w:p w14:paraId="038B3F42" w14:textId="310AFE0D" w:rsidR="00C42CDB" w:rsidRPr="00535CE0" w:rsidRDefault="00C42CDB" w:rsidP="003466D7">
            <w:pPr>
              <w:pStyle w:val="K-TextInfo"/>
              <w:numPr>
                <w:ilvl w:val="0"/>
                <w:numId w:val="22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Eliminace tohoto rizika je možná vyžadováním plnění vládních usnesení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oblasti digitalizace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zlepšením podmínek pro najímání expertů.</w:t>
            </w:r>
          </w:p>
          <w:p w14:paraId="10068C10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Nevhodné nastavení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governance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modelů jednotlivých kompetenčních center.</w:t>
            </w:r>
          </w:p>
          <w:p w14:paraId="6638076B" w14:textId="3FC194B7" w:rsidR="00C42CDB" w:rsidRPr="00535CE0" w:rsidRDefault="00C42CDB" w:rsidP="003466D7">
            <w:pPr>
              <w:pStyle w:val="K-TextInfo"/>
              <w:numPr>
                <w:ilvl w:val="0"/>
                <w:numId w:val="22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Eliminace tohoto rizika je možná zajištěním koordinační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řídící role prostřednictvím Rady vlády pro informační společnost. </w:t>
            </w:r>
          </w:p>
        </w:tc>
      </w:tr>
      <w:tr w:rsidR="00C42CDB" w:rsidRPr="00535CE0" w14:paraId="750A99DD" w14:textId="77777777" w:rsidTr="00C42CDB">
        <w:tc>
          <w:tcPr>
            <w:tcW w:w="2405" w:type="dxa"/>
          </w:tcPr>
          <w:p w14:paraId="1AA1DF85" w14:textId="557A1ED3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Cílové skupiny populace a</w:t>
            </w:r>
            <w:r w:rsidR="00EE51EC" w:rsidRPr="00535CE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ekonomické subjekty</w:t>
            </w:r>
          </w:p>
        </w:tc>
        <w:tc>
          <w:tcPr>
            <w:tcW w:w="7223" w:type="dxa"/>
          </w:tcPr>
          <w:p w14:paraId="4F08A71D" w14:textId="0A329655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Ministerstva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další centrální orgány státní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veřejné správy</w:t>
            </w:r>
          </w:p>
          <w:p w14:paraId="19FFED69" w14:textId="66FD1051" w:rsidR="00C42CDB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Krajské úřady</w:t>
            </w:r>
          </w:p>
          <w:p w14:paraId="1567CF37" w14:textId="0BD37845" w:rsidR="00AC638D" w:rsidRPr="00535CE0" w:rsidRDefault="00AC638D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lastRenderedPageBreak/>
              <w:t>Kraje</w:t>
            </w:r>
          </w:p>
          <w:p w14:paraId="0A43A1E0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Municipality</w:t>
            </w:r>
          </w:p>
          <w:p w14:paraId="5FA5C1D9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Poskytovatelé zdravotnických služeb</w:t>
            </w:r>
            <w:r w:rsidRPr="00535C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</w:p>
        </w:tc>
      </w:tr>
      <w:tr w:rsidR="00C42CDB" w:rsidRPr="00535CE0" w14:paraId="7FE9278B" w14:textId="77777777" w:rsidTr="00C42CDB">
        <w:tc>
          <w:tcPr>
            <w:tcW w:w="2405" w:type="dxa"/>
          </w:tcPr>
          <w:p w14:paraId="32BDB30A" w14:textId="7EE3C56D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Souhrnné náklady realizace financované z</w:t>
            </w:r>
            <w:r w:rsidR="00EE51EC" w:rsidRPr="00535CE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RRF za celé období</w:t>
            </w:r>
          </w:p>
        </w:tc>
        <w:tc>
          <w:tcPr>
            <w:tcW w:w="7223" w:type="dxa"/>
          </w:tcPr>
          <w:p w14:paraId="328A54EF" w14:textId="7A2382BC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Celkové náklady reformy hrazené z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RRF jsou </w:t>
            </w:r>
            <w:r w:rsidR="003C5414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3</w:t>
            </w:r>
            <w:r w:rsidR="000C1477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6</w:t>
            </w:r>
            <w:r w:rsidR="003C5414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4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mil Kč</w:t>
            </w:r>
          </w:p>
        </w:tc>
      </w:tr>
      <w:tr w:rsidR="00C42CDB" w:rsidRPr="00535CE0" w14:paraId="36FF1187" w14:textId="77777777" w:rsidTr="00C42CDB">
        <w:tc>
          <w:tcPr>
            <w:tcW w:w="2405" w:type="dxa"/>
          </w:tcPr>
          <w:p w14:paraId="2E9EEDB8" w14:textId="77777777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221266D1" w14:textId="3CC82CE4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Žádný z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projektů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rámci 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reformy nezakládá veřejnou podporu</w:t>
            </w:r>
          </w:p>
        </w:tc>
      </w:tr>
      <w:tr w:rsidR="00C42CDB" w:rsidRPr="00535CE0" w14:paraId="2FC23F8B" w14:textId="77777777" w:rsidTr="00C42CDB">
        <w:tc>
          <w:tcPr>
            <w:tcW w:w="2405" w:type="dxa"/>
          </w:tcPr>
          <w:p w14:paraId="72504B52" w14:textId="77777777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0D667C7B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Plánovaná doba realizace je 47 měsíců. Předpokládané dokončení je ve 4Q 2024</w:t>
            </w:r>
          </w:p>
        </w:tc>
      </w:tr>
    </w:tbl>
    <w:p w14:paraId="13916F55" w14:textId="77777777" w:rsidR="00C42CDB" w:rsidRPr="00535CE0" w:rsidRDefault="00C42CDB" w:rsidP="002F5C22">
      <w:pPr>
        <w:pStyle w:val="K-Text"/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4D68DE07" w14:textId="4D1B0EE6" w:rsidR="00C42CDB" w:rsidRPr="00535CE0" w:rsidRDefault="00C42CDB" w:rsidP="00174CDE">
      <w:pPr>
        <w:rPr>
          <w:rFonts w:cstheme="minorHAnsi"/>
          <w:b/>
          <w:szCs w:val="20"/>
        </w:rPr>
      </w:pPr>
      <w:r w:rsidRPr="00535CE0">
        <w:rPr>
          <w:rFonts w:cstheme="minorHAnsi"/>
          <w:b/>
          <w:szCs w:val="20"/>
        </w:rPr>
        <w:t>Budování a</w:t>
      </w:r>
      <w:r w:rsidR="00EE51EC" w:rsidRPr="00535CE0">
        <w:rPr>
          <w:rFonts w:cstheme="minorHAnsi"/>
          <w:b/>
          <w:szCs w:val="20"/>
        </w:rPr>
        <w:t> </w:t>
      </w:r>
      <w:r w:rsidRPr="00535CE0">
        <w:rPr>
          <w:rFonts w:cstheme="minorHAnsi"/>
          <w:b/>
          <w:szCs w:val="20"/>
        </w:rPr>
        <w:t>rozvoj systémů podporujících elektronizaci zdravotnictví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C42CDB" w:rsidRPr="00535CE0" w14:paraId="0FF8AC91" w14:textId="77777777" w:rsidTr="00C42CDB">
        <w:tc>
          <w:tcPr>
            <w:tcW w:w="2405" w:type="dxa"/>
          </w:tcPr>
          <w:p w14:paraId="4B1A9DB1" w14:textId="77777777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57205F66" w14:textId="462F0E1D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Urychlit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usnadnit zavádění elektronických služeb prostřednictvím propojené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systematicky vytvářené infrastruktury elektronizace zdravotnictví včetně stabilizace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standardizace datového fondu zdravotnictví.  </w:t>
            </w:r>
          </w:p>
        </w:tc>
      </w:tr>
      <w:tr w:rsidR="00C42CDB" w:rsidRPr="00535CE0" w14:paraId="254D3574" w14:textId="77777777" w:rsidTr="00C42CDB">
        <w:tc>
          <w:tcPr>
            <w:tcW w:w="2405" w:type="dxa"/>
          </w:tcPr>
          <w:p w14:paraId="5200E85A" w14:textId="77777777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07DEAEF3" w14:textId="4758C8C2" w:rsidR="00C42CDB" w:rsidRPr="00535CE0" w:rsidRDefault="00C42CDB" w:rsidP="003466D7">
            <w:pPr>
              <w:pStyle w:val="K-TextInfo"/>
              <w:numPr>
                <w:ilvl w:val="0"/>
                <w:numId w:val="21"/>
              </w:numPr>
              <w:rPr>
                <w:rStyle w:val="K-TextChar"/>
                <w:rFonts w:asciiTheme="minorHAnsi" w:hAnsiTheme="minorHAnsi" w:cstheme="minorHAnsi"/>
                <w:i w:val="0"/>
                <w:iCs/>
                <w:color w:val="auto"/>
                <w:sz w:val="20"/>
                <w:szCs w:val="20"/>
              </w:rPr>
            </w:pPr>
            <w:r w:rsidRPr="00535CE0">
              <w:rPr>
                <w:rStyle w:val="K-TextChar"/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Rozvoj resortní infrastruktury elektronického zdravotnictví ČR. Infrastruktura sestává zejména z</w:t>
            </w:r>
            <w:r w:rsidR="00EE51EC" w:rsidRPr="00535CE0">
              <w:rPr>
                <w:rStyle w:val="K-TextChar"/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 </w:t>
            </w:r>
            <w:r w:rsidRPr="00535CE0">
              <w:rPr>
                <w:rStyle w:val="K-TextChar"/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referenčních registrů Poskytovatelů zdravotních služeb, zdravotníků a</w:t>
            </w:r>
            <w:r w:rsidR="00EE51EC" w:rsidRPr="00535CE0">
              <w:rPr>
                <w:rStyle w:val="K-TextChar"/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 </w:t>
            </w:r>
            <w:r w:rsidRPr="00535CE0">
              <w:rPr>
                <w:rStyle w:val="K-TextChar"/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pacientů, vzájemně propojených s</w:t>
            </w:r>
            <w:r w:rsidR="00EE51EC" w:rsidRPr="00535CE0">
              <w:rPr>
                <w:rStyle w:val="K-TextChar"/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 </w:t>
            </w:r>
            <w:r w:rsidRPr="00535CE0">
              <w:rPr>
                <w:rStyle w:val="K-TextChar"/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referenčními registry </w:t>
            </w:r>
            <w:proofErr w:type="spellStart"/>
            <w:r w:rsidRPr="00535CE0">
              <w:rPr>
                <w:rStyle w:val="K-TextChar"/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eGovernmentu</w:t>
            </w:r>
            <w:proofErr w:type="spellEnd"/>
            <w:r w:rsidRPr="00535CE0">
              <w:rPr>
                <w:rStyle w:val="K-TextChar"/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 a</w:t>
            </w:r>
            <w:r w:rsidR="00EE51EC" w:rsidRPr="00535CE0">
              <w:rPr>
                <w:rStyle w:val="K-TextChar"/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 </w:t>
            </w:r>
            <w:r w:rsidRPr="00535CE0">
              <w:rPr>
                <w:rStyle w:val="K-TextChar"/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dalšími systémy jako například správa souhlasů.</w:t>
            </w:r>
            <w:r w:rsidRPr="00535CE0">
              <w:rPr>
                <w:rStyle w:val="K-TextChar"/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</w:p>
          <w:p w14:paraId="04EA431F" w14:textId="217F1CC2" w:rsidR="00C42CDB" w:rsidRPr="00535CE0" w:rsidRDefault="00C42CDB" w:rsidP="003466D7">
            <w:pPr>
              <w:pStyle w:val="K-TextInfo"/>
              <w:numPr>
                <w:ilvl w:val="0"/>
                <w:numId w:val="21"/>
              </w:numPr>
              <w:rPr>
                <w:rStyle w:val="K-TextChar"/>
                <w:rFonts w:asciiTheme="minorHAnsi" w:hAnsiTheme="minorHAnsi" w:cstheme="minorHAnsi"/>
                <w:i w:val="0"/>
                <w:iCs/>
                <w:color w:val="auto"/>
                <w:sz w:val="20"/>
                <w:szCs w:val="20"/>
              </w:rPr>
            </w:pPr>
            <w:r w:rsidRPr="00535CE0">
              <w:rPr>
                <w:rStyle w:val="K-TextChar"/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Vybudování a</w:t>
            </w:r>
            <w:r w:rsidR="00EE51EC" w:rsidRPr="00535CE0">
              <w:rPr>
                <w:rStyle w:val="K-TextChar"/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 </w:t>
            </w:r>
            <w:r w:rsidRPr="00535CE0">
              <w:rPr>
                <w:rStyle w:val="K-TextChar"/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rozvoj zdravotnických registrů (Hygienické registry, registry NZIS). Jedná se o</w:t>
            </w:r>
            <w:r w:rsidR="00EE51EC" w:rsidRPr="00535CE0">
              <w:rPr>
                <w:rStyle w:val="K-TextChar"/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 </w:t>
            </w:r>
            <w:r w:rsidRPr="00535CE0">
              <w:rPr>
                <w:rStyle w:val="K-TextChar"/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zdravotnické registry hygienické služby a</w:t>
            </w:r>
            <w:r w:rsidR="00EE51EC" w:rsidRPr="00535CE0">
              <w:rPr>
                <w:rStyle w:val="K-TextChar"/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 </w:t>
            </w:r>
            <w:r w:rsidRPr="00535CE0">
              <w:rPr>
                <w:rStyle w:val="K-TextChar"/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informační systémy související s</w:t>
            </w:r>
            <w:r w:rsidR="00EE51EC" w:rsidRPr="00535CE0">
              <w:rPr>
                <w:rStyle w:val="K-TextChar"/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 </w:t>
            </w:r>
            <w:r w:rsidRPr="00535CE0">
              <w:rPr>
                <w:rStyle w:val="K-TextChar"/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řešením pandemických situací, zdravotnické registry onkologických, kardiovaskulárních a</w:t>
            </w:r>
            <w:r w:rsidR="00EE51EC" w:rsidRPr="00535CE0">
              <w:rPr>
                <w:rStyle w:val="K-TextChar"/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 </w:t>
            </w:r>
            <w:r w:rsidRPr="00535CE0">
              <w:rPr>
                <w:rStyle w:val="K-TextChar"/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dalších onemocnění).</w:t>
            </w:r>
          </w:p>
          <w:p w14:paraId="2A1DC17F" w14:textId="39D6488B" w:rsidR="00C42CDB" w:rsidRPr="00535CE0" w:rsidRDefault="00C42CDB" w:rsidP="003466D7">
            <w:pPr>
              <w:pStyle w:val="K-TextInfo"/>
              <w:numPr>
                <w:ilvl w:val="0"/>
                <w:numId w:val="21"/>
              </w:numPr>
              <w:rPr>
                <w:rStyle w:val="K-TextChar"/>
                <w:rFonts w:asciiTheme="minorHAnsi" w:hAnsiTheme="minorHAnsi" w:cstheme="minorHAnsi"/>
                <w:i w:val="0"/>
                <w:iCs/>
                <w:color w:val="000000" w:themeColor="text1"/>
                <w:sz w:val="20"/>
                <w:szCs w:val="20"/>
              </w:rPr>
            </w:pPr>
            <w:r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Vybudování a</w:t>
            </w:r>
            <w:r w:rsidR="00EE51EC"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rozvoj informačního systému pro podporu řízení hygienické služby ve čtrnácti regionech ČR (Informační systém KHS).</w:t>
            </w:r>
          </w:p>
          <w:p w14:paraId="5294F8AE" w14:textId="5741EDCD" w:rsidR="00C42CDB" w:rsidRPr="00535CE0" w:rsidRDefault="00C42CDB" w:rsidP="003466D7">
            <w:pPr>
              <w:pStyle w:val="K-TextInfo"/>
              <w:numPr>
                <w:ilvl w:val="0"/>
                <w:numId w:val="21"/>
              </w:numPr>
              <w:rPr>
                <w:rStyle w:val="K-TextChar"/>
                <w:rFonts w:asciiTheme="minorHAnsi" w:hAnsiTheme="minorHAnsi" w:cstheme="minorHAnsi"/>
                <w:i w:val="0"/>
                <w:iCs/>
                <w:color w:val="000000" w:themeColor="text1"/>
                <w:sz w:val="20"/>
                <w:szCs w:val="20"/>
              </w:rPr>
            </w:pPr>
            <w:r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Rozšíření stávající funkcionality </w:t>
            </w:r>
            <w:proofErr w:type="spellStart"/>
            <w:r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eReceptů</w:t>
            </w:r>
            <w:proofErr w:type="spellEnd"/>
            <w:r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 o</w:t>
            </w:r>
            <w:r w:rsidR="00EE51EC"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recepty na omamné a</w:t>
            </w:r>
            <w:r w:rsidR="00EE51EC"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psychotropní látky. Druhým cílem je zavádění služby elektronické poukazy, v</w:t>
            </w:r>
            <w:r w:rsidR="00EE51EC"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nepovinném režimu umožnit elektronické předepisování poukazů na zdravotnické prostředky pro všechny osoby oprávněné předepisovat a</w:t>
            </w:r>
            <w:r w:rsidR="00EE51EC"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umožnit i</w:t>
            </w:r>
            <w:r w:rsidR="00EE51EC"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výdej takto předepsaných prostředků u</w:t>
            </w:r>
            <w:r w:rsidR="00EE51EC"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poskytovatelů zdravotních služeb i</w:t>
            </w:r>
            <w:r w:rsidR="00EE51EC"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smluvních výdejen.</w:t>
            </w:r>
          </w:p>
          <w:p w14:paraId="3815195B" w14:textId="0692BE8B" w:rsidR="00C42CDB" w:rsidRPr="00AD592F" w:rsidRDefault="00C42CDB" w:rsidP="003466D7">
            <w:pPr>
              <w:pStyle w:val="K-TextInfo"/>
              <w:numPr>
                <w:ilvl w:val="0"/>
                <w:numId w:val="21"/>
              </w:numPr>
              <w:rPr>
                <w:rStyle w:val="K-TextChar"/>
                <w:rFonts w:asciiTheme="minorHAnsi" w:hAnsiTheme="minorHAnsi" w:cstheme="minorHAnsi"/>
                <w:i w:val="0"/>
                <w:iCs/>
                <w:color w:val="auto"/>
                <w:sz w:val="20"/>
                <w:szCs w:val="20"/>
              </w:rPr>
            </w:pPr>
            <w:r w:rsidRPr="00535CE0">
              <w:rPr>
                <w:rStyle w:val="K-TextChar"/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Vybudování infrastruktury pro podporu systému péče o</w:t>
            </w:r>
            <w:r w:rsidR="00EE51EC" w:rsidRPr="00535CE0">
              <w:rPr>
                <w:rStyle w:val="K-TextChar"/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 </w:t>
            </w:r>
            <w:r w:rsidRPr="00535CE0">
              <w:rPr>
                <w:rStyle w:val="K-TextChar"/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pacienty se vzácnými chorobami a</w:t>
            </w:r>
            <w:r w:rsidR="00EE51EC" w:rsidRPr="00535CE0">
              <w:rPr>
                <w:rStyle w:val="K-TextChar"/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 </w:t>
            </w:r>
            <w:r w:rsidRPr="00535CE0">
              <w:rPr>
                <w:rStyle w:val="K-TextChar"/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zajištění odborných kapacit.</w:t>
            </w:r>
          </w:p>
          <w:p w14:paraId="46A482E2" w14:textId="210D23CE" w:rsidR="0073550F" w:rsidRPr="00535CE0" w:rsidRDefault="0073550F" w:rsidP="003466D7">
            <w:pPr>
              <w:pStyle w:val="K-TextInfo"/>
              <w:numPr>
                <w:ilvl w:val="0"/>
                <w:numId w:val="21"/>
              </w:numPr>
              <w:rPr>
                <w:rStyle w:val="K-TextChar"/>
                <w:rFonts w:asciiTheme="minorHAnsi" w:hAnsiTheme="minorHAnsi" w:cstheme="minorHAnsi"/>
                <w:i w:val="0"/>
                <w:iCs/>
                <w:color w:val="auto"/>
                <w:sz w:val="20"/>
                <w:szCs w:val="20"/>
              </w:rPr>
            </w:pPr>
            <w:r w:rsidRPr="0073550F">
              <w:rPr>
                <w:rStyle w:val="K-TextChar"/>
                <w:rFonts w:asciiTheme="minorHAnsi" w:hAnsiTheme="minorHAnsi" w:cstheme="minorHAnsi"/>
                <w:i w:val="0"/>
                <w:iCs/>
                <w:color w:val="auto"/>
                <w:sz w:val="20"/>
                <w:szCs w:val="20"/>
              </w:rPr>
              <w:t xml:space="preserve">Během </w:t>
            </w:r>
            <w:r>
              <w:rPr>
                <w:rStyle w:val="K-TextChar"/>
                <w:rFonts w:asciiTheme="minorHAnsi" w:hAnsiTheme="minorHAnsi" w:cstheme="minorHAnsi"/>
                <w:i w:val="0"/>
                <w:iCs/>
                <w:color w:val="auto"/>
                <w:sz w:val="20"/>
                <w:szCs w:val="20"/>
              </w:rPr>
              <w:t xml:space="preserve">budování výše </w:t>
            </w:r>
            <w:proofErr w:type="spellStart"/>
            <w:r>
              <w:rPr>
                <w:rStyle w:val="K-TextChar"/>
                <w:rFonts w:asciiTheme="minorHAnsi" w:hAnsiTheme="minorHAnsi" w:cstheme="minorHAnsi"/>
                <w:i w:val="0"/>
                <w:iCs/>
                <w:color w:val="auto"/>
                <w:sz w:val="20"/>
                <w:szCs w:val="20"/>
              </w:rPr>
              <w:t>uvedenách</w:t>
            </w:r>
            <w:proofErr w:type="spellEnd"/>
            <w:r>
              <w:rPr>
                <w:rStyle w:val="K-TextChar"/>
                <w:rFonts w:asciiTheme="minorHAnsi" w:hAnsiTheme="minorHAnsi" w:cstheme="minorHAnsi"/>
                <w:i w:val="0"/>
                <w:iCs/>
                <w:color w:val="auto"/>
                <w:sz w:val="20"/>
                <w:szCs w:val="20"/>
              </w:rPr>
              <w:t xml:space="preserve"> </w:t>
            </w:r>
            <w:r w:rsidR="00A16FF2">
              <w:rPr>
                <w:rStyle w:val="K-TextChar"/>
                <w:rFonts w:asciiTheme="minorHAnsi" w:hAnsiTheme="minorHAnsi" w:cstheme="minorHAnsi"/>
                <w:i w:val="0"/>
                <w:iCs/>
                <w:color w:val="auto"/>
                <w:sz w:val="20"/>
                <w:szCs w:val="20"/>
              </w:rPr>
              <w:t>systémů a infrastruktury</w:t>
            </w:r>
            <w:r w:rsidRPr="0073550F">
              <w:rPr>
                <w:rStyle w:val="K-TextChar"/>
                <w:rFonts w:asciiTheme="minorHAnsi" w:hAnsiTheme="minorHAnsi" w:cstheme="minorHAnsi"/>
                <w:i w:val="0"/>
                <w:iCs/>
                <w:color w:val="auto"/>
                <w:sz w:val="20"/>
                <w:szCs w:val="20"/>
              </w:rPr>
              <w:t xml:space="preserve"> bude od počátku dbáno na zajišťování kybernetické bezpečnosti dle příslušných předpisů.</w:t>
            </w:r>
          </w:p>
          <w:p w14:paraId="1C7A925A" w14:textId="2064F128" w:rsidR="00C42CDB" w:rsidRPr="00535CE0" w:rsidRDefault="00C42CDB" w:rsidP="003466D7">
            <w:pPr>
              <w:pStyle w:val="K-TextInfo"/>
              <w:numPr>
                <w:ilvl w:val="0"/>
                <w:numId w:val="21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Zajištění vzdělávacích programů pro rozšíření využívání elektronických zdravotnických služeb a</w:t>
            </w:r>
            <w:r w:rsidR="00EE51EC"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digitálních služeb ve zdravotnictví zaměřených především na zdravotnický personál.</w:t>
            </w:r>
          </w:p>
        </w:tc>
      </w:tr>
      <w:tr w:rsidR="00C42CDB" w:rsidRPr="00535CE0" w14:paraId="0150A8A3" w14:textId="77777777" w:rsidTr="00C42CDB">
        <w:tc>
          <w:tcPr>
            <w:tcW w:w="2405" w:type="dxa"/>
          </w:tcPr>
          <w:p w14:paraId="1E0863CE" w14:textId="77777777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42E9A64F" w14:textId="7D8009BA" w:rsidR="00C42CDB" w:rsidRPr="00535CE0" w:rsidRDefault="00C42CDB" w:rsidP="002F5C22">
            <w:pPr>
              <w:pStyle w:val="K-Text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Reforma je složena ze sedmi vzájemně propojených či na sebe navazujících projektů majících společného jmenovatele – vytvoření provázané infrastruktury využívající společná data a</w:t>
            </w:r>
            <w:r w:rsidR="00EE51EC" w:rsidRPr="00535CE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sdílené funkcionality.</w:t>
            </w:r>
          </w:p>
          <w:p w14:paraId="189E01B0" w14:textId="0FD637A6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Projekty jsou realizovány organizacemi zřizovanými Ministerstvem zdravotnictví – ÚZIS, SÚKL ve spolupráci s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krajskými hygienickými stanicemi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="00936081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poskytovateli </w:t>
            </w:r>
            <w:r w:rsidR="00CA574F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zdravotních služeb především pak 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Všeobecnou fakultní nemocnicí.</w:t>
            </w:r>
          </w:p>
          <w:p w14:paraId="4126BE79" w14:textId="77777777" w:rsidR="00C42CDB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Jejich koordinaci bude vykonávat Národní centrum elektronizace zdravotnictví (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) ve spolupráci s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programovou kanceláří Digitální Česko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Ministerstvem vnitra jako gestorem digitalizace veřejné správy.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bude úzce spolupracovat s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programovou 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lastRenderedPageBreak/>
              <w:t>kanceláří programu Digitální Česko, která bude mít ve vrcholných řídících strukturách projektů svého zástupce, který bude monitorovat vývoj projektu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čase vč. stavu naplňování jeho indikátorů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v případě problémů je bude neprodleně eskalovat na úroveň vládního zmocněnce pro IT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digitalizaci. Vedení programové kanceláře bude o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běhu projektu informováno na pravidelné cca měsíční bázi.</w:t>
            </w:r>
          </w:p>
          <w:p w14:paraId="00B38061" w14:textId="3C1792C5" w:rsidR="00B17097" w:rsidRPr="00AD592F" w:rsidRDefault="00B17097" w:rsidP="002F5C22">
            <w:pPr>
              <w:pStyle w:val="K-TextInfo"/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Jednotlivé projekty jsou v různých fázích přípravy. Vždy však mají připravenou a schválenou interní projektovou dokumentaci. Většina projektů je pak ve stádiu příprav zadávací dokumentace a dalších nezbytných administrativních </w:t>
            </w:r>
            <w:r w:rsidR="009A517D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>kroků</w:t>
            </w:r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 v podobě </w:t>
            </w:r>
            <w:r w:rsidR="009A517D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>přípravy</w:t>
            </w:r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 architektonického modelu služby či systému (</w:t>
            </w:r>
            <w:r w:rsidR="009A517D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získání Souhlasného stanoviska </w:t>
            </w:r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odboru hlavního architekta </w:t>
            </w:r>
            <w:proofErr w:type="spellStart"/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>eGovernmentu</w:t>
            </w:r>
            <w:proofErr w:type="spellEnd"/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>) a</w:t>
            </w:r>
            <w:r w:rsidR="00047F03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 podání </w:t>
            </w:r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informace na vládu o záměru učinit výdaj (na základě Usnesení vlády č. 86/2020).  </w:t>
            </w:r>
          </w:p>
        </w:tc>
      </w:tr>
      <w:tr w:rsidR="00C42CDB" w:rsidRPr="00535CE0" w14:paraId="06CABBCD" w14:textId="77777777" w:rsidTr="00C42CDB">
        <w:trPr>
          <w:trHeight w:val="70"/>
        </w:trPr>
        <w:tc>
          <w:tcPr>
            <w:tcW w:w="2405" w:type="dxa"/>
          </w:tcPr>
          <w:p w14:paraId="0E622CD1" w14:textId="45B082DD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Spolupráce a</w:t>
            </w:r>
            <w:r w:rsidR="00EE51EC" w:rsidRPr="00535CE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zapojení zúčastněných stran</w:t>
            </w:r>
          </w:p>
        </w:tc>
        <w:tc>
          <w:tcPr>
            <w:tcW w:w="7223" w:type="dxa"/>
          </w:tcPr>
          <w:p w14:paraId="675E045B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Hlavními nositeli jednotlivých projektů jsou:</w:t>
            </w:r>
          </w:p>
          <w:p w14:paraId="1CDA11FB" w14:textId="77777777" w:rsidR="00C42CDB" w:rsidRPr="00535CE0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Ministerstvo zdravotnictví</w:t>
            </w:r>
          </w:p>
          <w:p w14:paraId="74F0902A" w14:textId="77777777" w:rsidR="00C42CDB" w:rsidRPr="00535CE0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Národní centrum elektronického zdravotnictví</w:t>
            </w:r>
          </w:p>
          <w:p w14:paraId="7ED6414B" w14:textId="77777777" w:rsidR="0062461C" w:rsidRPr="0062461C" w:rsidRDefault="0062461C" w:rsidP="0062461C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</w:pPr>
            <w:r w:rsidRPr="0062461C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Institut postgraduálního vzdělávání ve zdravotnictví</w:t>
            </w:r>
          </w:p>
          <w:p w14:paraId="36221B2A" w14:textId="6F66686E" w:rsidR="005C4FB7" w:rsidRPr="00AD592F" w:rsidRDefault="0062461C" w:rsidP="0062461C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2461C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Všeobecná fakultní nemocnice v</w:t>
            </w:r>
            <w:r w:rsidR="005C4FB7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 </w:t>
            </w:r>
            <w:r w:rsidRPr="0062461C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Praze</w:t>
            </w:r>
          </w:p>
          <w:p w14:paraId="4BD78E1F" w14:textId="6653C10E" w:rsidR="00C42CDB" w:rsidRPr="00535CE0" w:rsidRDefault="00C42CDB" w:rsidP="0062461C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krajské hygienické stanice</w:t>
            </w:r>
          </w:p>
          <w:p w14:paraId="277426A3" w14:textId="512ADE0F" w:rsidR="00C42CDB" w:rsidRPr="00535CE0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Ústav zdravotnických informací a</w:t>
            </w:r>
            <w:r w:rsidR="00EE51EC" w:rsidRPr="00535CE0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statistiky</w:t>
            </w:r>
          </w:p>
          <w:p w14:paraId="2DFAF9DB" w14:textId="77777777" w:rsidR="00C42CDB" w:rsidRPr="00535CE0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Státní ústav pro kontrolu léčiv</w:t>
            </w:r>
          </w:p>
          <w:p w14:paraId="10501AB5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Do realizace projektů budou dále zapojeni:</w:t>
            </w:r>
          </w:p>
          <w:p w14:paraId="42758950" w14:textId="77777777" w:rsidR="000B5901" w:rsidRDefault="000B5901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Národní úřad pro kybernetickou a informační bezpečnost</w:t>
            </w:r>
          </w:p>
          <w:p w14:paraId="6C1D448E" w14:textId="463A37A5" w:rsidR="00C42CDB" w:rsidRPr="00535CE0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Poskytovatelé zdravotních služeb</w:t>
            </w:r>
          </w:p>
          <w:p w14:paraId="39DBDB45" w14:textId="77777777" w:rsidR="00C42CDB" w:rsidRPr="00535CE0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Kraje, které jsou zřizovateli nebo zakladateli poskytovatelů zdravotních služeb.</w:t>
            </w:r>
            <w:r w:rsidRPr="00535CE0" w:rsidDel="006C5F3D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 </w:t>
            </w:r>
          </w:p>
          <w:p w14:paraId="06A32A1A" w14:textId="77777777" w:rsidR="00C42CDB" w:rsidRPr="00AD592F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Municipality, které jsou zřizovateli n</w:t>
            </w:r>
            <w:r w:rsidRPr="00535CE0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ebo zakladateli 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poskytovatelů zdravotní</w:t>
            </w:r>
            <w:r w:rsidRPr="00535CE0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ch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 služeb.</w:t>
            </w:r>
          </w:p>
          <w:p w14:paraId="4277BE42" w14:textId="16A8848E" w:rsidR="00765514" w:rsidRPr="00535CE0" w:rsidRDefault="000B5901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Státní pokladna – centrum sdílených služeb, </w:t>
            </w:r>
            <w:proofErr w:type="spellStart"/>
            <w: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s.p</w:t>
            </w:r>
            <w:proofErr w:type="spellEnd"/>
            <w: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.</w:t>
            </w:r>
          </w:p>
        </w:tc>
      </w:tr>
      <w:tr w:rsidR="00C42CDB" w:rsidRPr="00535CE0" w14:paraId="3FF118AE" w14:textId="77777777" w:rsidTr="00C42CDB">
        <w:tc>
          <w:tcPr>
            <w:tcW w:w="2405" w:type="dxa"/>
          </w:tcPr>
          <w:p w14:paraId="2A936870" w14:textId="2F3D128A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Překážky a</w:t>
            </w:r>
            <w:r w:rsidR="00EE51EC" w:rsidRPr="00535CE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rizika</w:t>
            </w:r>
          </w:p>
        </w:tc>
        <w:tc>
          <w:tcPr>
            <w:tcW w:w="7223" w:type="dxa"/>
          </w:tcPr>
          <w:p w14:paraId="741A56AB" w14:textId="0A70DD1A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přípravě jednotlivých zadávacích dokumentací</w:t>
            </w:r>
          </w:p>
          <w:p w14:paraId="317BD0FD" w14:textId="1E218A24" w:rsidR="00C42CDB" w:rsidRPr="00535CE0" w:rsidRDefault="00C42CDB" w:rsidP="003466D7">
            <w:pPr>
              <w:pStyle w:val="K-TextInfo"/>
              <w:numPr>
                <w:ilvl w:val="0"/>
                <w:numId w:val="22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Eliminace tohoto rizika spočívá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eskalaci na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, příp. na programovou kancelář Digitální Česko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v následném zapojení specialistů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na jednotlivé problémové domény případně specialistů z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dalších kompetenčních center.</w:t>
            </w:r>
          </w:p>
          <w:p w14:paraId="760D3EEB" w14:textId="0114AFEB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Zahlcení OHA při vydávání stanovisek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 tím související delší vydávání souhlasných stanovisek</w:t>
            </w:r>
          </w:p>
          <w:p w14:paraId="7533A25F" w14:textId="46ED0913" w:rsidR="00C42CDB" w:rsidRPr="00535CE0" w:rsidRDefault="00C42CDB" w:rsidP="003466D7">
            <w:pPr>
              <w:pStyle w:val="K-TextInfo"/>
              <w:numPr>
                <w:ilvl w:val="0"/>
                <w:numId w:val="22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Zahlcení OHA bude prostřednictvím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eskalováno na Radu vlády pro informační společnost s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požadavkem na navýšení kapacit OHA.</w:t>
            </w:r>
          </w:p>
          <w:p w14:paraId="58E91105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Nekvalitní architektonické návrhy, které si vyžádají opakované projednávání</w:t>
            </w:r>
          </w:p>
          <w:p w14:paraId="003EC60F" w14:textId="3E9B04B8" w:rsidR="00C42CDB" w:rsidRPr="00535CE0" w:rsidRDefault="00C42CDB" w:rsidP="003466D7">
            <w:pPr>
              <w:pStyle w:val="K-TextInfo"/>
              <w:numPr>
                <w:ilvl w:val="0"/>
                <w:numId w:val="22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Eliminace tohoto rizika spočívá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zapojení architektů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, příp. specialistů z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dalších kompetenčních center do příprav,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předkonzultací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konzultací architektonických návrhů.</w:t>
            </w:r>
          </w:p>
          <w:p w14:paraId="0340EDBE" w14:textId="1088143B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Posun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realizaci zadávacích řízení vč. rozhodování ÚOHS </w:t>
            </w:r>
          </w:p>
          <w:p w14:paraId="6CED3FA7" w14:textId="77777777" w:rsidR="00C42CDB" w:rsidRPr="00535CE0" w:rsidRDefault="00C42CDB" w:rsidP="003466D7">
            <w:pPr>
              <w:pStyle w:val="K-TextInfo"/>
              <w:numPr>
                <w:ilvl w:val="0"/>
                <w:numId w:val="22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Riziko je nutné akceptovat. </w:t>
            </w:r>
          </w:p>
          <w:p w14:paraId="64AFE9A2" w14:textId="7B09005C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implementaci jednotlivých systémů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služeb</w:t>
            </w:r>
          </w:p>
          <w:p w14:paraId="4BA2CF22" w14:textId="2DC7E754" w:rsidR="00C42CDB" w:rsidRPr="00535CE0" w:rsidRDefault="00C42CDB" w:rsidP="003466D7">
            <w:pPr>
              <w:pStyle w:val="K-TextInfo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lastRenderedPageBreak/>
              <w:t>K eliminaci rizika slouží vícestupňový dohled nad realizací jednotlivých projektů a</w:t>
            </w:r>
            <w:r w:rsidR="00EE51EC" w:rsidRPr="00535CE0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současně personální kapacity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NCeZ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 příp. dalších kompetenčních center, která budou moci poskytnout specialisty pro řešení situace.</w:t>
            </w:r>
          </w:p>
        </w:tc>
      </w:tr>
      <w:tr w:rsidR="00C42CDB" w:rsidRPr="00535CE0" w14:paraId="5DDDE414" w14:textId="77777777" w:rsidTr="00C42CDB">
        <w:tc>
          <w:tcPr>
            <w:tcW w:w="2405" w:type="dxa"/>
          </w:tcPr>
          <w:p w14:paraId="1F4C9013" w14:textId="1B26DBD8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Cílové skupiny populace a</w:t>
            </w:r>
            <w:r w:rsidR="00EE51EC" w:rsidRPr="00535CE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ekonomické subjekty</w:t>
            </w:r>
          </w:p>
        </w:tc>
        <w:tc>
          <w:tcPr>
            <w:tcW w:w="7223" w:type="dxa"/>
          </w:tcPr>
          <w:p w14:paraId="573FD99B" w14:textId="13C838C0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Primární cílovou skupinou jsou poskytovatelé zdravotnických služeb, ministerstvo zdravotnictví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Krajské hygienické stanice. </w:t>
            </w:r>
          </w:p>
          <w:p w14:paraId="478BEBB2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Sekundární cílovou skupinou je široká veřejnost využívající služby elektronického zdravotnictví.</w:t>
            </w:r>
          </w:p>
        </w:tc>
      </w:tr>
      <w:tr w:rsidR="00C42CDB" w:rsidRPr="00535CE0" w14:paraId="7D788B44" w14:textId="77777777" w:rsidTr="00C42CDB">
        <w:tc>
          <w:tcPr>
            <w:tcW w:w="2405" w:type="dxa"/>
          </w:tcPr>
          <w:p w14:paraId="2483B9FF" w14:textId="42D94D8B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Souhrnné náklady realizace financované z</w:t>
            </w:r>
            <w:r w:rsidR="00EE51EC" w:rsidRPr="00535CE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RRF za celé období</w:t>
            </w:r>
          </w:p>
        </w:tc>
        <w:tc>
          <w:tcPr>
            <w:tcW w:w="7223" w:type="dxa"/>
          </w:tcPr>
          <w:p w14:paraId="6C83203C" w14:textId="6ED038AC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Celkové náklady reformy hrazené z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RRF jsou 3</w:t>
            </w:r>
            <w:r w:rsidR="003C5414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2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5 mil. Kč.</w:t>
            </w:r>
          </w:p>
        </w:tc>
      </w:tr>
      <w:tr w:rsidR="00C42CDB" w:rsidRPr="00535CE0" w14:paraId="74BB48AB" w14:textId="77777777" w:rsidTr="00C42CDB">
        <w:tc>
          <w:tcPr>
            <w:tcW w:w="2405" w:type="dxa"/>
          </w:tcPr>
          <w:p w14:paraId="14839815" w14:textId="77777777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176E1228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Reforma nezakládá veřejnou podporu.</w:t>
            </w:r>
          </w:p>
        </w:tc>
      </w:tr>
      <w:tr w:rsidR="00C42CDB" w:rsidRPr="00535CE0" w14:paraId="1FC0C9C8" w14:textId="77777777" w:rsidTr="00C42CDB">
        <w:tc>
          <w:tcPr>
            <w:tcW w:w="2405" w:type="dxa"/>
          </w:tcPr>
          <w:p w14:paraId="4FDFB48B" w14:textId="77777777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541E0C0A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Plánovaná doba realizace je 58 měsíců. Předpokládané dokončení je ve 4Q 2025.</w:t>
            </w:r>
          </w:p>
        </w:tc>
      </w:tr>
    </w:tbl>
    <w:p w14:paraId="4209B195" w14:textId="77777777" w:rsidR="00C42CDB" w:rsidRPr="00535CE0" w:rsidRDefault="00C42CDB" w:rsidP="002F5C22">
      <w:pPr>
        <w:pStyle w:val="K-Text"/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08EE7640" w14:textId="77777777" w:rsidR="00C42CDB" w:rsidRPr="00535CE0" w:rsidRDefault="00C42CDB" w:rsidP="00174CDE">
      <w:pPr>
        <w:rPr>
          <w:rFonts w:cstheme="minorHAnsi"/>
          <w:b/>
          <w:szCs w:val="20"/>
        </w:rPr>
      </w:pPr>
      <w:r w:rsidRPr="00535CE0">
        <w:rPr>
          <w:rFonts w:cstheme="minorHAnsi"/>
          <w:b/>
          <w:szCs w:val="20"/>
        </w:rPr>
        <w:t>b) Popis investic</w:t>
      </w:r>
    </w:p>
    <w:p w14:paraId="3F3B35EA" w14:textId="4E14CCAE" w:rsidR="00C42CDB" w:rsidRPr="00535CE0" w:rsidRDefault="00C42CDB" w:rsidP="00174CDE">
      <w:pPr>
        <w:rPr>
          <w:rFonts w:cstheme="minorHAnsi"/>
          <w:b/>
          <w:szCs w:val="20"/>
        </w:rPr>
      </w:pPr>
      <w:r w:rsidRPr="00535CE0">
        <w:rPr>
          <w:rFonts w:cstheme="minorHAnsi"/>
          <w:b/>
          <w:szCs w:val="20"/>
        </w:rPr>
        <w:t>Budování a</w:t>
      </w:r>
      <w:r w:rsidR="00EE51EC" w:rsidRPr="00535CE0">
        <w:rPr>
          <w:rFonts w:cstheme="minorHAnsi"/>
          <w:b/>
          <w:szCs w:val="20"/>
        </w:rPr>
        <w:t> </w:t>
      </w:r>
      <w:r w:rsidRPr="00535CE0">
        <w:rPr>
          <w:rFonts w:cstheme="minorHAnsi"/>
          <w:b/>
          <w:szCs w:val="20"/>
        </w:rPr>
        <w:t>rozvoj základních registrů a</w:t>
      </w:r>
      <w:r w:rsidR="00EE51EC" w:rsidRPr="00535CE0">
        <w:rPr>
          <w:rFonts w:cstheme="minorHAnsi"/>
          <w:b/>
          <w:szCs w:val="20"/>
        </w:rPr>
        <w:t> </w:t>
      </w:r>
      <w:r w:rsidRPr="00535CE0">
        <w:rPr>
          <w:rFonts w:cstheme="minorHAnsi"/>
          <w:b/>
          <w:szCs w:val="20"/>
        </w:rPr>
        <w:t xml:space="preserve">zázemí pro </w:t>
      </w:r>
      <w:proofErr w:type="spellStart"/>
      <w:r w:rsidRPr="00535CE0">
        <w:rPr>
          <w:rFonts w:cstheme="minorHAnsi"/>
          <w:b/>
          <w:szCs w:val="20"/>
        </w:rPr>
        <w:t>eGovernment</w:t>
      </w:r>
      <w:proofErr w:type="spell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C42CDB" w:rsidRPr="00535CE0" w14:paraId="57EB7AEB" w14:textId="77777777" w:rsidTr="00C42CDB">
        <w:tc>
          <w:tcPr>
            <w:tcW w:w="2405" w:type="dxa"/>
          </w:tcPr>
          <w:p w14:paraId="5D90227B" w14:textId="77777777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7D87A5AB" w14:textId="0218F180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Vytvořit efektivní systémové, technologické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znalostí prostředí pro digitalizaci agend vykonávaných veřejnou správou. </w:t>
            </w:r>
          </w:p>
        </w:tc>
      </w:tr>
      <w:tr w:rsidR="00C42CDB" w:rsidRPr="00535CE0" w14:paraId="0D288CE0" w14:textId="77777777" w:rsidTr="00C42CDB">
        <w:tc>
          <w:tcPr>
            <w:tcW w:w="2405" w:type="dxa"/>
          </w:tcPr>
          <w:p w14:paraId="7FD7757D" w14:textId="77777777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07C340BD" w14:textId="13FD49BD" w:rsidR="00C42CDB" w:rsidRDefault="00C42CDB" w:rsidP="002F5C22">
            <w:pPr>
              <w:pStyle w:val="K-TextInfo"/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</w:pPr>
            <w:r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Rozvoj základních registrů (Registr osob, Registr obyvatel, Registr práv a</w:t>
            </w:r>
            <w:r w:rsidR="00EE51EC"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povinností, Registr územní identifikace, adres a</w:t>
            </w:r>
            <w:r w:rsidR="00EE51EC"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nemovitostí, Informační systém ORG), jejich modernizace a</w:t>
            </w:r>
            <w:r w:rsidR="00EE51EC"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rozšíření v</w:t>
            </w:r>
            <w:r w:rsidR="00EE51EC"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souladu novými požadavky na rozsah jimi poskytovaných referenčních údajů. Součástí je i</w:t>
            </w:r>
            <w:r w:rsidR="00EE51EC"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budování Informačního systému sdílené služby, který propojuje data z</w:t>
            </w:r>
            <w:r w:rsidR="00EE51EC"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jednotlivých </w:t>
            </w:r>
            <w:proofErr w:type="spellStart"/>
            <w:r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agendových</w:t>
            </w:r>
            <w:proofErr w:type="spellEnd"/>
            <w:r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 systémů, a</w:t>
            </w:r>
            <w:r w:rsidR="00EE51EC"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Style w:val="K-TextChar"/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tak vytváří základ propojeného datového fondu.</w:t>
            </w:r>
          </w:p>
          <w:p w14:paraId="39D9B5C8" w14:textId="77777777" w:rsidR="00096511" w:rsidRPr="00535CE0" w:rsidRDefault="00096511" w:rsidP="00096511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AD592F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Vytváření propojeného datového fondu ČR a propojení mezirezortních průřezových agend, tak aby občan nemusel obíhat úřady, ale data putovala napříč úřady.</w:t>
            </w:r>
          </w:p>
          <w:p w14:paraId="68973DBE" w14:textId="781B950B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Rozvoj technologické infrastruktury veřejné správy včetně radikálního navýšení její přenosové kapacity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souvislosti s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rozvojem sítí nové generace, implementací nových zákaznických služeb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služeb vysoce náročných na přenosovou kapacitu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propustnost infrastruktury (např.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souvislosti s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digitalizací stavebního řízení je předpokládáno desetinásobné navýšení datového toku na centrálním uzlu oproti stavu r. 2020).  </w:t>
            </w:r>
          </w:p>
        </w:tc>
      </w:tr>
      <w:tr w:rsidR="00C42CDB" w:rsidRPr="00535CE0" w14:paraId="2AF651E3" w14:textId="77777777" w:rsidTr="00C42CDB">
        <w:tc>
          <w:tcPr>
            <w:tcW w:w="2405" w:type="dxa"/>
          </w:tcPr>
          <w:p w14:paraId="67B12199" w14:textId="77777777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1162DB94" w14:textId="776A8946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Investice je složena ze dvaceti vzájemně propojených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na sebe navazujících projektů (detailnější informace o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jednotlivých projektech viz Příloha). Celkovou koordinaci bude vykonávat programová kancelář Digitální Česko ve spolupráci s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Ministerstvem vnitra jako gestorem digitalizace veřejné správy</w:t>
            </w:r>
            <w:r w:rsidR="00D6798F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,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Radou základních registrů – pracovní skupinou Rady vlády pro informační společnost</w:t>
            </w:r>
            <w:r w:rsidR="00D856C5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a v případě </w:t>
            </w:r>
            <w:r w:rsidR="00253D48" w:rsidRPr="00D856C5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průřezov</w:t>
            </w:r>
            <w:r w:rsidR="00253D48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ých </w:t>
            </w:r>
            <w:r w:rsidR="00253D48" w:rsidRPr="00D856C5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infrastrukturní</w:t>
            </w:r>
            <w:r w:rsidR="00253D48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ch</w:t>
            </w:r>
            <w:r w:rsidR="00253D48" w:rsidRPr="00D856C5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r w:rsidR="00D856C5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projektů</w:t>
            </w:r>
            <w:r w:rsidR="00253D48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r w:rsidR="009E4C9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– </w:t>
            </w:r>
            <w:r w:rsidR="00D856C5" w:rsidRPr="00D856C5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Pracovní</w:t>
            </w:r>
            <w:r w:rsidR="009E4C9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m </w:t>
            </w:r>
            <w:r w:rsidR="00D856C5" w:rsidRPr="00D856C5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výbor</w:t>
            </w:r>
            <w:r w:rsidR="009E4C9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em</w:t>
            </w:r>
            <w:r w:rsidR="00D856C5" w:rsidRPr="00D856C5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pro rozvoj celkového prostředí podporujícího digitální technologie</w:t>
            </w:r>
            <w:r w:rsidR="00D838C9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při Radě vlády pro informační </w:t>
            </w:r>
            <w:proofErr w:type="spellStart"/>
            <w:r w:rsidR="00D838C9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společnnost</w:t>
            </w:r>
            <w:proofErr w:type="spellEnd"/>
            <w:r w:rsidR="00D838C9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.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Koordinaci projektů na rozvoji Základních registrů (jako celku) na operativní úrovni pak bude realizovat Rada základních registrů.</w:t>
            </w:r>
            <w:r w:rsidR="00254FF5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Koordinaci průřezových infrastrukturních projektů pak bude realizovat Pracovní výbor pro rozvoj celkového prostředí podporujícího digitální technologie příp. k tomuto účelu nově zřízená pra</w:t>
            </w:r>
            <w:r w:rsidR="00EC7227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covní skupina při Radě vlády pro informační společnost.</w:t>
            </w:r>
          </w:p>
          <w:p w14:paraId="0C09655E" w14:textId="77777777" w:rsidR="00C42CDB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Programová kancelář bude mít ve vrcholných řídících strukturách projektů svého zástupce, který bude monitorovat vývoj projektu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čase vč. stavu naplňování jeho indikátorů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v případě problémů je bude neprodleně eskalovat na úroveň vládního zmocněnce pro IT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digitalizaci. Vedení programové kanceláře bude o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běhu projektu informováno na pravidelné cca měsíční bázi.</w:t>
            </w:r>
          </w:p>
          <w:p w14:paraId="188E6CF2" w14:textId="4D2145EE" w:rsidR="00047F03" w:rsidRPr="00AD592F" w:rsidRDefault="00047F03" w:rsidP="002F5C22">
            <w:pPr>
              <w:pStyle w:val="K-TextInfo"/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lastRenderedPageBreak/>
              <w:t xml:space="preserve">Jednotlivé projekty jsou v různých fázích přípravy. Vždy však mají připravenou a schválenou interní projektovou dokumentaci. Většina projektů je pak ve stádiu příprav zadávací dokumentace a dalších nezbytných administrativních </w:t>
            </w:r>
            <w:r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>kroků</w:t>
            </w:r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 v podobě </w:t>
            </w:r>
            <w:r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>návrhu</w:t>
            </w:r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 architektonického modelu systému (</w:t>
            </w:r>
            <w:r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>souhlasné Stanovisko</w:t>
            </w:r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 odboru hlavního architekta </w:t>
            </w:r>
            <w:proofErr w:type="spellStart"/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>eGovernmentu</w:t>
            </w:r>
            <w:proofErr w:type="spellEnd"/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>) a </w:t>
            </w:r>
            <w:r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podání </w:t>
            </w:r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informace na vládu o záměru učinit výdaj (na základě Usnesení vlády č. 86/2020).  </w:t>
            </w:r>
          </w:p>
        </w:tc>
      </w:tr>
      <w:tr w:rsidR="00C42CDB" w:rsidRPr="00535CE0" w14:paraId="3EB1A86B" w14:textId="77777777" w:rsidTr="00C42CDB">
        <w:trPr>
          <w:trHeight w:val="70"/>
        </w:trPr>
        <w:tc>
          <w:tcPr>
            <w:tcW w:w="2405" w:type="dxa"/>
          </w:tcPr>
          <w:p w14:paraId="46B0405D" w14:textId="727108B6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eastAsia="Times New Roman" w:hAnsiTheme="minorHAnsi" w:cstheme="minorHAnsi"/>
                <w:sz w:val="20"/>
                <w:szCs w:val="20"/>
              </w:rPr>
              <w:lastRenderedPageBreak/>
              <w:t>Spolupráce a</w:t>
            </w:r>
            <w:r w:rsidR="00EE51EC" w:rsidRPr="00535CE0">
              <w:rPr>
                <w:rFonts w:asciiTheme="minorHAnsi" w:eastAsia="Times New Roman" w:hAnsiTheme="minorHAnsi" w:cstheme="minorHAnsi"/>
                <w:sz w:val="20"/>
                <w:szCs w:val="20"/>
              </w:rPr>
              <w:t> </w:t>
            </w:r>
            <w:r w:rsidRPr="00535CE0">
              <w:rPr>
                <w:rFonts w:asciiTheme="minorHAnsi" w:eastAsia="Times New Roman" w:hAnsiTheme="minorHAnsi" w:cstheme="minorHAnsi"/>
                <w:sz w:val="20"/>
                <w:szCs w:val="20"/>
              </w:rPr>
              <w:t>zapojení zúčastněných stran</w:t>
            </w:r>
          </w:p>
        </w:tc>
        <w:tc>
          <w:tcPr>
            <w:tcW w:w="7223" w:type="dxa"/>
          </w:tcPr>
          <w:p w14:paraId="72A213E3" w14:textId="77777777" w:rsidR="00C42CDB" w:rsidRPr="00535CE0" w:rsidRDefault="00C42CDB" w:rsidP="002F5C22">
            <w:pPr>
              <w:pStyle w:val="K-TextInfo"/>
              <w:rPr>
                <w:rFonts w:asciiTheme="minorHAnsi" w:eastAsia="Times New Roman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eastAsia="Times New Roman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Hlavními nositeli jednotlivých projektů jsou:</w:t>
            </w:r>
          </w:p>
          <w:p w14:paraId="4EE1DF14" w14:textId="77777777" w:rsidR="00C42CDB" w:rsidRPr="00535CE0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eastAsia="Times New Roman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eastAsia="Times New Roman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Český statistický úřad</w:t>
            </w:r>
          </w:p>
          <w:p w14:paraId="4A37E698" w14:textId="10848CE9" w:rsidR="00C42CDB" w:rsidRPr="00535CE0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eastAsia="Times New Roman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Český úřad zeměměři</w:t>
            </w:r>
            <w:r w:rsidR="0035647D">
              <w:rPr>
                <w:rFonts w:asciiTheme="minorHAnsi" w:eastAsia="Times New Roman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c</w:t>
            </w:r>
            <w:r w:rsidRPr="00535CE0">
              <w:rPr>
                <w:rFonts w:asciiTheme="minorHAnsi" w:eastAsia="Times New Roman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ký a</w:t>
            </w:r>
            <w:r w:rsidR="00EE51EC" w:rsidRPr="00535CE0">
              <w:rPr>
                <w:rFonts w:asciiTheme="minorHAnsi" w:eastAsia="Times New Roman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eastAsia="Times New Roman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katastrální</w:t>
            </w:r>
          </w:p>
          <w:p w14:paraId="5D963760" w14:textId="28DD8848" w:rsidR="00C42CDB" w:rsidRPr="00535CE0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eastAsia="Times New Roman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eastAsia="Times New Roman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Ministerstvo práce a</w:t>
            </w:r>
            <w:r w:rsidR="00EE51EC" w:rsidRPr="00535CE0">
              <w:rPr>
                <w:rFonts w:asciiTheme="minorHAnsi" w:eastAsia="Times New Roman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eastAsia="Times New Roman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sociálních věcí</w:t>
            </w:r>
          </w:p>
          <w:p w14:paraId="66D735C4" w14:textId="77777777" w:rsidR="00C42CDB" w:rsidRPr="00535CE0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eastAsia="Times New Roman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Ministerstvo vnitra</w:t>
            </w:r>
          </w:p>
          <w:p w14:paraId="69367C83" w14:textId="77777777" w:rsidR="00C42CDB" w:rsidRPr="00535CE0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eastAsia="Times New Roman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Správa základních registrů</w:t>
            </w:r>
          </w:p>
          <w:p w14:paraId="6A53A566" w14:textId="77777777" w:rsidR="00C42CDB" w:rsidRPr="00535CE0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eastAsia="Times New Roman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eastAsia="Times New Roman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Úřad pro ochranu osobních údajů</w:t>
            </w:r>
          </w:p>
          <w:p w14:paraId="25FD24E8" w14:textId="77777777" w:rsidR="00C42CDB" w:rsidRPr="00535CE0" w:rsidRDefault="00C42CDB" w:rsidP="002F5C22">
            <w:pPr>
              <w:pStyle w:val="K-TextInfo"/>
              <w:rPr>
                <w:rFonts w:asciiTheme="minorHAnsi" w:eastAsia="Times New Roman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eastAsia="Times New Roman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Do realizace projektů budou dále zapojeni:</w:t>
            </w:r>
          </w:p>
          <w:p w14:paraId="1843702A" w14:textId="77777777" w:rsidR="000913CD" w:rsidRDefault="000913CD" w:rsidP="000913CD">
            <w:pPr>
              <w:pStyle w:val="K-TextInfo"/>
              <w:numPr>
                <w:ilvl w:val="0"/>
                <w:numId w:val="14"/>
              </w:numPr>
              <w:rPr>
                <w:rFonts w:asciiTheme="minorHAnsi" w:eastAsia="Times New Roman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Národní úřad pro kybernetickou a informační bezpečnost</w:t>
            </w:r>
          </w:p>
          <w:p w14:paraId="7B7D8C81" w14:textId="54A6A637" w:rsidR="00C42CDB" w:rsidRPr="000913CD" w:rsidRDefault="00C42CDB">
            <w:pPr>
              <w:pStyle w:val="K-TextInfo"/>
              <w:numPr>
                <w:ilvl w:val="0"/>
                <w:numId w:val="14"/>
              </w:numPr>
              <w:rPr>
                <w:rFonts w:asciiTheme="minorHAnsi" w:eastAsia="Times New Roman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0913CD">
              <w:rPr>
                <w:rFonts w:asciiTheme="minorHAnsi" w:eastAsia="Times New Roman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Orgány veřejné správy</w:t>
            </w:r>
          </w:p>
          <w:p w14:paraId="1A8421DC" w14:textId="77777777" w:rsidR="00C42CDB" w:rsidRPr="00535CE0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eastAsia="Times New Roman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eastAsia="Times New Roman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Krajské úřady</w:t>
            </w:r>
          </w:p>
          <w:p w14:paraId="5A13A519" w14:textId="77777777" w:rsidR="00C42CDB" w:rsidRPr="00535CE0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eastAsia="Times New Roman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eastAsia="Times New Roman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Municipality</w:t>
            </w:r>
          </w:p>
        </w:tc>
      </w:tr>
      <w:tr w:rsidR="00C42CDB" w:rsidRPr="00535CE0" w14:paraId="716FD0EE" w14:textId="77777777" w:rsidTr="00C42CDB">
        <w:tc>
          <w:tcPr>
            <w:tcW w:w="2405" w:type="dxa"/>
          </w:tcPr>
          <w:p w14:paraId="4096DFC5" w14:textId="0FBD8E09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Překážky a</w:t>
            </w:r>
            <w:r w:rsidR="00EE51EC" w:rsidRPr="00535CE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rizika</w:t>
            </w:r>
          </w:p>
        </w:tc>
        <w:tc>
          <w:tcPr>
            <w:tcW w:w="7223" w:type="dxa"/>
          </w:tcPr>
          <w:p w14:paraId="77136CAB" w14:textId="48036509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přípravě jednotlivých zadávacích dokumentací</w:t>
            </w:r>
          </w:p>
          <w:p w14:paraId="3F3CCFBC" w14:textId="34D3795C" w:rsidR="00C42CDB" w:rsidRPr="00535CE0" w:rsidRDefault="00C42CDB" w:rsidP="003466D7">
            <w:pPr>
              <w:pStyle w:val="K-TextInfo"/>
              <w:numPr>
                <w:ilvl w:val="0"/>
                <w:numId w:val="22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Pro eliminaci rizika budou při hrozícím skluzu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přípravě zadávacích dokumentací využity eskalační procedury na programovou kancelář Digitální Česko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následně využity personální kapacity kompetenčních center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závislosti na potřebných odbornostech.</w:t>
            </w:r>
          </w:p>
          <w:p w14:paraId="1AFA43A1" w14:textId="4597DF14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Posun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realizaci zadávacích řízení vč. rozhodování ÚOHS </w:t>
            </w:r>
          </w:p>
          <w:p w14:paraId="0E013349" w14:textId="77777777" w:rsidR="00C42CDB" w:rsidRPr="00535CE0" w:rsidRDefault="00C42CDB" w:rsidP="003466D7">
            <w:pPr>
              <w:pStyle w:val="K-TextInfo"/>
              <w:numPr>
                <w:ilvl w:val="0"/>
                <w:numId w:val="22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Riziko je nutné akceptovat. </w:t>
            </w:r>
          </w:p>
          <w:p w14:paraId="5F19290C" w14:textId="2A68F722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implementaci jednotlivých systémů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služeb</w:t>
            </w:r>
          </w:p>
          <w:p w14:paraId="63488DAB" w14:textId="2E47229A" w:rsidR="00C42CDB" w:rsidRPr="00535CE0" w:rsidRDefault="00C42CDB" w:rsidP="003466D7">
            <w:pPr>
              <w:pStyle w:val="K-TextInfo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K eliminaci rizika slouží vícestupňový dohled nad realizací jednotlivých projektů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současně personální kapacity kompetenčních center, která budou moci poskytnout specialisty pro řešení situace.</w:t>
            </w:r>
          </w:p>
        </w:tc>
      </w:tr>
      <w:tr w:rsidR="00C42CDB" w:rsidRPr="00535CE0" w14:paraId="4F23BB10" w14:textId="77777777" w:rsidTr="00C42CDB">
        <w:tc>
          <w:tcPr>
            <w:tcW w:w="2405" w:type="dxa"/>
          </w:tcPr>
          <w:p w14:paraId="69AF254E" w14:textId="04E6955C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Cílové skupiny populace a</w:t>
            </w:r>
            <w:r w:rsidR="00EE51EC" w:rsidRPr="00535CE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ekonomické subjekty</w:t>
            </w:r>
          </w:p>
        </w:tc>
        <w:tc>
          <w:tcPr>
            <w:tcW w:w="7223" w:type="dxa"/>
          </w:tcPr>
          <w:p w14:paraId="7F37226F" w14:textId="614E24B4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Primární cílovou skupinou jsou orgány veřejné správy využívající data základních registrů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propojeného datového fondu vč. krajských úřadů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municipalit. </w:t>
            </w:r>
          </w:p>
          <w:p w14:paraId="0130FB42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Sekundární cílovou skupinou je široká veřejnost využívající služby jejichž součástí jsou data ze základních registrů či propojeného datového fondu. Základním přínosem je princip „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only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once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“.</w:t>
            </w:r>
          </w:p>
        </w:tc>
      </w:tr>
      <w:tr w:rsidR="00C42CDB" w:rsidRPr="00535CE0" w14:paraId="62EEE942" w14:textId="77777777" w:rsidTr="00C42CDB">
        <w:tc>
          <w:tcPr>
            <w:tcW w:w="2405" w:type="dxa"/>
          </w:tcPr>
          <w:p w14:paraId="28CC3579" w14:textId="57967408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Souhrnné náklady realizace financované z</w:t>
            </w:r>
            <w:r w:rsidR="00EE51EC" w:rsidRPr="00535CE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RRF za celé období</w:t>
            </w:r>
          </w:p>
        </w:tc>
        <w:tc>
          <w:tcPr>
            <w:tcW w:w="7223" w:type="dxa"/>
          </w:tcPr>
          <w:p w14:paraId="3D2C2E09" w14:textId="56CC4B93" w:rsidR="00C42CDB" w:rsidRPr="00535CE0" w:rsidRDefault="00C42CDB" w:rsidP="002F5C22">
            <w:pPr>
              <w:pStyle w:val="K-TextInfo"/>
              <w:rPr>
                <w:rFonts w:asciiTheme="minorHAnsi" w:hAnsiTheme="minorHAnsi" w:cstheme="minorBidi"/>
                <w:sz w:val="20"/>
                <w:szCs w:val="20"/>
              </w:rPr>
            </w:pPr>
            <w:r w:rsidRPr="02CD191C">
              <w:rPr>
                <w:rFonts w:asciiTheme="minorHAnsi" w:hAnsiTheme="minorHAnsi" w:cstheme="minorBidi"/>
                <w:i w:val="0"/>
                <w:color w:val="000000" w:themeColor="text1"/>
                <w:sz w:val="20"/>
                <w:szCs w:val="20"/>
              </w:rPr>
              <w:t xml:space="preserve">Celkové náklady </w:t>
            </w:r>
            <w:r w:rsidR="00F91777" w:rsidRPr="02CD191C">
              <w:rPr>
                <w:rFonts w:asciiTheme="minorHAnsi" w:hAnsiTheme="minorHAnsi" w:cstheme="minorBidi"/>
                <w:i w:val="0"/>
                <w:color w:val="000000" w:themeColor="text1"/>
                <w:sz w:val="20"/>
                <w:szCs w:val="20"/>
              </w:rPr>
              <w:t>investic</w:t>
            </w:r>
            <w:r w:rsidRPr="02CD191C">
              <w:rPr>
                <w:rFonts w:asciiTheme="minorHAnsi" w:hAnsiTheme="minorHAnsi" w:cstheme="minorBidi"/>
                <w:i w:val="0"/>
                <w:color w:val="000000" w:themeColor="text1"/>
                <w:sz w:val="20"/>
                <w:szCs w:val="20"/>
              </w:rPr>
              <w:t xml:space="preserve"> hrazené z</w:t>
            </w:r>
            <w:r w:rsidR="00EE51EC" w:rsidRPr="02CD191C">
              <w:rPr>
                <w:rFonts w:asciiTheme="minorHAnsi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02CD191C">
              <w:rPr>
                <w:rFonts w:asciiTheme="minorHAnsi" w:hAnsiTheme="minorHAnsi" w:cstheme="minorBidi"/>
                <w:i w:val="0"/>
                <w:color w:val="000000" w:themeColor="text1"/>
                <w:sz w:val="20"/>
                <w:szCs w:val="20"/>
              </w:rPr>
              <w:t xml:space="preserve">RRF jsou </w:t>
            </w:r>
            <w:r w:rsidR="003C5414" w:rsidRPr="02CD191C">
              <w:rPr>
                <w:rFonts w:asciiTheme="minorHAnsi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2</w:t>
            </w:r>
            <w:r w:rsidR="00F52860" w:rsidRPr="02CD191C">
              <w:rPr>
                <w:rFonts w:asciiTheme="minorHAnsi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6</w:t>
            </w:r>
            <w:r w:rsidR="33A4AA70" w:rsidRPr="02CD191C">
              <w:rPr>
                <w:rFonts w:asciiTheme="minorHAnsi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11,93</w:t>
            </w:r>
            <w:r w:rsidRPr="02CD191C">
              <w:rPr>
                <w:rFonts w:asciiTheme="minorHAnsi" w:hAnsiTheme="minorHAnsi" w:cstheme="minorBidi"/>
                <w:i w:val="0"/>
                <w:color w:val="000000" w:themeColor="text1"/>
                <w:sz w:val="20"/>
                <w:szCs w:val="20"/>
              </w:rPr>
              <w:t xml:space="preserve"> mil. Kč.</w:t>
            </w:r>
          </w:p>
        </w:tc>
      </w:tr>
      <w:tr w:rsidR="00C42CDB" w:rsidRPr="00535CE0" w14:paraId="63A2498E" w14:textId="77777777" w:rsidTr="00C42CDB">
        <w:tc>
          <w:tcPr>
            <w:tcW w:w="2405" w:type="dxa"/>
          </w:tcPr>
          <w:p w14:paraId="02776897" w14:textId="77777777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39F413A4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Investice nezakládá veřejnou podporu.</w:t>
            </w:r>
          </w:p>
        </w:tc>
      </w:tr>
      <w:tr w:rsidR="00C42CDB" w:rsidRPr="00535CE0" w14:paraId="12B508BA" w14:textId="77777777" w:rsidTr="00C42CDB">
        <w:tc>
          <w:tcPr>
            <w:tcW w:w="2405" w:type="dxa"/>
          </w:tcPr>
          <w:p w14:paraId="63ECA84C" w14:textId="77777777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0901520A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Plánovaná doba realizace je 58 měsíců. Předpokládané dokončení je ve 4Q 2025.</w:t>
            </w:r>
          </w:p>
        </w:tc>
      </w:tr>
    </w:tbl>
    <w:p w14:paraId="0CCF9CC1" w14:textId="77777777" w:rsidR="00C42CDB" w:rsidRPr="00535CE0" w:rsidRDefault="00C42CDB" w:rsidP="002F5C22">
      <w:pPr>
        <w:pStyle w:val="K-Text"/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13BD5A6E" w14:textId="5E7ACA6B" w:rsidR="00C42CDB" w:rsidRPr="00535CE0" w:rsidRDefault="00C42CDB" w:rsidP="00174CDE">
      <w:pPr>
        <w:rPr>
          <w:rFonts w:cstheme="minorHAnsi"/>
          <w:b/>
          <w:szCs w:val="20"/>
        </w:rPr>
      </w:pPr>
      <w:r w:rsidRPr="00535CE0">
        <w:rPr>
          <w:rFonts w:cstheme="minorHAnsi"/>
          <w:b/>
          <w:szCs w:val="20"/>
        </w:rPr>
        <w:t>Budování a</w:t>
      </w:r>
      <w:r w:rsidR="00EE51EC" w:rsidRPr="00535CE0">
        <w:rPr>
          <w:rFonts w:cstheme="minorHAnsi"/>
          <w:b/>
          <w:szCs w:val="20"/>
        </w:rPr>
        <w:t> </w:t>
      </w:r>
      <w:r w:rsidRPr="00535CE0">
        <w:rPr>
          <w:rFonts w:cstheme="minorHAnsi"/>
          <w:b/>
          <w:szCs w:val="20"/>
        </w:rPr>
        <w:t xml:space="preserve">rozvoj </w:t>
      </w:r>
      <w:proofErr w:type="spellStart"/>
      <w:r w:rsidRPr="00535CE0">
        <w:rPr>
          <w:rFonts w:cstheme="minorHAnsi"/>
          <w:b/>
          <w:szCs w:val="20"/>
        </w:rPr>
        <w:t>agendových</w:t>
      </w:r>
      <w:proofErr w:type="spellEnd"/>
      <w:r w:rsidRPr="00535CE0">
        <w:rPr>
          <w:rFonts w:cstheme="minorHAnsi"/>
          <w:b/>
          <w:szCs w:val="20"/>
        </w:rPr>
        <w:t xml:space="preserve"> informačních systémů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C42CDB" w:rsidRPr="00535CE0" w14:paraId="0A68B5B3" w14:textId="77777777" w:rsidTr="00C42CDB">
        <w:tc>
          <w:tcPr>
            <w:tcW w:w="2405" w:type="dxa"/>
          </w:tcPr>
          <w:p w14:paraId="6242D7EB" w14:textId="77777777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Výzva</w:t>
            </w:r>
          </w:p>
        </w:tc>
        <w:tc>
          <w:tcPr>
            <w:tcW w:w="7223" w:type="dxa"/>
          </w:tcPr>
          <w:p w14:paraId="396247C9" w14:textId="2F5CB5D6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V rámci veřejné správy existuje výrazný technologický deficit u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jednotlivých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agendových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informačních systémů, které jsou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mnoha případech staré i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více jak 10 let, postavené na dnes již nepodporovaných technologiích, budované jako monolitické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velice obtížně propojitelné či připojitelné k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centrálním službám. Tyto systémy pak brání plné digitalizaci jednotlivých úřadů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institucí.</w:t>
            </w:r>
          </w:p>
        </w:tc>
      </w:tr>
      <w:tr w:rsidR="00C42CDB" w:rsidRPr="00535CE0" w14:paraId="6B6AB891" w14:textId="77777777" w:rsidTr="00C42CDB">
        <w:tc>
          <w:tcPr>
            <w:tcW w:w="2405" w:type="dxa"/>
          </w:tcPr>
          <w:p w14:paraId="6E0F5909" w14:textId="77777777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5DD79345" w14:textId="52A5D51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Vybudovat moderní informační systémy postavené na modulární architektuře podporující snadnou propojitelnost jednotlivých systémů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digitalizaci úřadů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institucí.</w:t>
            </w:r>
          </w:p>
          <w:p w14:paraId="3239B893" w14:textId="6B517F10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Vytvoření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rozvoj stávajících či nových funkcionalit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backendových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informačních systémů jednotlivých orgánů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institucí, které slouží především k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vlastnímu výkonu agend. Hlavní důraz je zde kladen na komplexní digitalizaci těchto systémů,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tedy i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úřadů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vzájemné předávání dat mezi systémy prostřednictvím propojeného datového fondu. </w:t>
            </w:r>
          </w:p>
        </w:tc>
      </w:tr>
      <w:tr w:rsidR="00C42CDB" w:rsidRPr="00535CE0" w14:paraId="0C5F33C3" w14:textId="77777777" w:rsidTr="00C42CDB">
        <w:tc>
          <w:tcPr>
            <w:tcW w:w="2405" w:type="dxa"/>
          </w:tcPr>
          <w:p w14:paraId="7837725B" w14:textId="77777777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022B0B9E" w14:textId="3E3696E3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Investice je složena z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devatenácti projektů, které jsou částečně vzájemně propojené či na sebe navazující (detailnější informace o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jednotlivých projektech viz Příloha). Jejich koordinaci bude vykonávat programová kancelář Digitální Česko ve spolupráci s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Ministerstvem vnitra jako gestorem digitalizace veřejné správy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jednotlivými gestory projektů. </w:t>
            </w:r>
          </w:p>
          <w:p w14:paraId="7E03ECA4" w14:textId="77777777" w:rsidR="00C42CDB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Programová kancelář programu Digitální Česko bude mít ve vrcholných řídících strukturách projektů svého zástupce, který bude monitorovat vývoj projektu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čase vč. stavu naplňování jeho indikátorů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v případě problémů je bude neprodleně eskalovat na úroveň vládního zmocněnce pro IT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digitalizaci. Vedení programové kanceláře bude o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běhu projektu informováno na pravidelné cca měsíční bázi.</w:t>
            </w:r>
          </w:p>
          <w:p w14:paraId="486957EE" w14:textId="0E2335D2" w:rsidR="00047F03" w:rsidRPr="00AD592F" w:rsidRDefault="00047F03" w:rsidP="002F5C22">
            <w:pPr>
              <w:pStyle w:val="K-TextInfo"/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Jednotlivé projekty jsou v různých fázích přípravy. Vždy však mají připravenou a schválenou interní projektovou dokumentaci. Většina projektů je pak ve stádiu příprav zadávací dokumentace a dalších nezbytných administrativních </w:t>
            </w:r>
            <w:r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>kroků</w:t>
            </w:r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 v podobě </w:t>
            </w:r>
            <w:r w:rsidR="00E21279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>tvorby</w:t>
            </w:r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 architektonického modelu systému (</w:t>
            </w:r>
            <w:r w:rsidR="00E21279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souhlasné </w:t>
            </w:r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>S</w:t>
            </w:r>
            <w:r w:rsidR="00E21279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tanovisko </w:t>
            </w:r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odboru hlavního architekta </w:t>
            </w:r>
            <w:proofErr w:type="spellStart"/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>eGovernmentu</w:t>
            </w:r>
            <w:proofErr w:type="spellEnd"/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>) a </w:t>
            </w:r>
            <w:r w:rsidR="00E21279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podání </w:t>
            </w:r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informace na vládu o záměru učinit výdaj (na základě Usnesení vlády č. 86/2020).  </w:t>
            </w:r>
          </w:p>
        </w:tc>
      </w:tr>
      <w:tr w:rsidR="00C42CDB" w:rsidRPr="00535CE0" w14:paraId="62FDF4FA" w14:textId="77777777" w:rsidTr="00C42CDB">
        <w:trPr>
          <w:trHeight w:val="70"/>
        </w:trPr>
        <w:tc>
          <w:tcPr>
            <w:tcW w:w="2405" w:type="dxa"/>
          </w:tcPr>
          <w:p w14:paraId="3B517258" w14:textId="3886CB6A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Spolupráce a</w:t>
            </w:r>
            <w:r w:rsidR="00EE51EC" w:rsidRPr="00535CE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zapojení zúčastněných stran</w:t>
            </w:r>
          </w:p>
        </w:tc>
        <w:tc>
          <w:tcPr>
            <w:tcW w:w="7223" w:type="dxa"/>
          </w:tcPr>
          <w:p w14:paraId="3E9C5DC7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Hlavními nositeli jednotlivých projektů jsou:</w:t>
            </w:r>
          </w:p>
          <w:p w14:paraId="0FC683E5" w14:textId="77777777" w:rsidR="00C42CDB" w:rsidRPr="00535CE0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Česká správa sociálního zabezpečení</w:t>
            </w:r>
          </w:p>
          <w:p w14:paraId="4DBEB18C" w14:textId="77777777" w:rsidR="00C42CDB" w:rsidRPr="00535CE0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Ministerstvo kultury</w:t>
            </w:r>
          </w:p>
          <w:p w14:paraId="27AE1B08" w14:textId="77777777" w:rsidR="00C42CDB" w:rsidRPr="00535CE0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Ministerstvo vnitra</w:t>
            </w:r>
          </w:p>
          <w:p w14:paraId="5D4FCD35" w14:textId="77777777" w:rsidR="00C42CDB" w:rsidRPr="00535CE0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Ministerstvo zahraničních věcí</w:t>
            </w:r>
          </w:p>
          <w:p w14:paraId="59805926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Do realizace projektů budou dále zapojeni:</w:t>
            </w:r>
          </w:p>
          <w:p w14:paraId="2BE8DA0D" w14:textId="77777777" w:rsidR="00C42CDB" w:rsidRPr="00535CE0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Jednotlivé krajské úřady</w:t>
            </w:r>
          </w:p>
          <w:p w14:paraId="1F01F6FF" w14:textId="77777777" w:rsidR="00C42CDB" w:rsidRPr="00535CE0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Municipality</w:t>
            </w:r>
          </w:p>
          <w:p w14:paraId="7163AF0A" w14:textId="0018CF85" w:rsidR="00C42CDB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Muzea</w:t>
            </w:r>
          </w:p>
          <w:p w14:paraId="52DDCB6D" w14:textId="1CE96E5E" w:rsidR="00E81962" w:rsidRDefault="00E81962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Národní úřad pro kybernetickou a informační bezpečnost</w:t>
            </w:r>
          </w:p>
          <w:p w14:paraId="296D590C" w14:textId="0D9D70E7" w:rsidR="004634D8" w:rsidRPr="00535CE0" w:rsidRDefault="004634D8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Organizace zřizované orgány veřejné správy</w:t>
            </w:r>
          </w:p>
        </w:tc>
      </w:tr>
      <w:tr w:rsidR="00C42CDB" w:rsidRPr="00535CE0" w14:paraId="6AB5FBA6" w14:textId="77777777" w:rsidTr="00C42CDB">
        <w:tc>
          <w:tcPr>
            <w:tcW w:w="2405" w:type="dxa"/>
          </w:tcPr>
          <w:p w14:paraId="43AC0FEF" w14:textId="132C96C0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Překážky a</w:t>
            </w:r>
            <w:r w:rsidR="00EE51EC" w:rsidRPr="00535CE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rizika</w:t>
            </w:r>
          </w:p>
        </w:tc>
        <w:tc>
          <w:tcPr>
            <w:tcW w:w="7223" w:type="dxa"/>
          </w:tcPr>
          <w:p w14:paraId="3AEC19FE" w14:textId="028ECCBF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rámci schvalování nové legislativy</w:t>
            </w:r>
          </w:p>
          <w:p w14:paraId="0EADFAC5" w14:textId="77777777" w:rsidR="00C42CDB" w:rsidRPr="00535CE0" w:rsidRDefault="00C42CDB" w:rsidP="003466D7">
            <w:pPr>
              <w:pStyle w:val="K-TextInfo"/>
              <w:numPr>
                <w:ilvl w:val="0"/>
                <w:numId w:val="22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Riziko je nutné akceptovat. </w:t>
            </w:r>
          </w:p>
          <w:p w14:paraId="437A14B5" w14:textId="40AC083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Rychlé ustanovení vlády po volbách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10/2021</w:t>
            </w:r>
          </w:p>
          <w:p w14:paraId="3D7945FC" w14:textId="77777777" w:rsidR="00C42CDB" w:rsidRPr="00535CE0" w:rsidRDefault="00C42CDB" w:rsidP="003466D7">
            <w:pPr>
              <w:pStyle w:val="K-TextInfo"/>
              <w:numPr>
                <w:ilvl w:val="0"/>
                <w:numId w:val="22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Riziko je nutné akceptovat. </w:t>
            </w:r>
          </w:p>
          <w:p w14:paraId="707EB367" w14:textId="538A94D9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přípravě jednotlivých zadávacích dokumentací</w:t>
            </w:r>
          </w:p>
          <w:p w14:paraId="47B574F9" w14:textId="5839C352" w:rsidR="00C42CDB" w:rsidRPr="00535CE0" w:rsidRDefault="00C42CDB" w:rsidP="003466D7">
            <w:pPr>
              <w:pStyle w:val="K-TextInfo"/>
              <w:numPr>
                <w:ilvl w:val="0"/>
                <w:numId w:val="22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lastRenderedPageBreak/>
              <w:t>Pro eliminaci rizika budou při hrozícím skluzu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přípravě zadávacích dokumentací využity eskalační procedury na programovou kancelář Digitální Česko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následně využity personální kapacity kompetenčních center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závislosti na potřebných odbornostech.</w:t>
            </w:r>
          </w:p>
          <w:p w14:paraId="1755465B" w14:textId="19DD3538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Zahlcení OHA při vydávání stanovisek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s tím související delší vydávání souhlasných stanovisek </w:t>
            </w:r>
          </w:p>
          <w:p w14:paraId="3D78D8FE" w14:textId="61949EB3" w:rsidR="00C42CDB" w:rsidRPr="00535CE0" w:rsidRDefault="00C42CDB" w:rsidP="003466D7">
            <w:pPr>
              <w:pStyle w:val="K-TextInfo"/>
              <w:numPr>
                <w:ilvl w:val="0"/>
                <w:numId w:val="22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Pro eliminaci rizika budou při hrozícím skluzu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přípravě vydávání stanovisek OHA využity eskalační procedury na programovou kancelář Digitální Česko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Radu vlády pro informační společnost s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požadavkem na doplnění kapacit OHA.</w:t>
            </w:r>
          </w:p>
          <w:p w14:paraId="60294A22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Nekvalitní architektonické návrhy, které si vyžádají opakované projednávání</w:t>
            </w:r>
          </w:p>
          <w:p w14:paraId="2B0DED98" w14:textId="14AC3DDE" w:rsidR="00C42CDB" w:rsidRPr="00535CE0" w:rsidRDefault="00C42CDB" w:rsidP="003466D7">
            <w:pPr>
              <w:pStyle w:val="K-TextInfo"/>
              <w:numPr>
                <w:ilvl w:val="0"/>
                <w:numId w:val="22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Pro eliminaci rizika budou využívány konzultace architektonických návrhů s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příslušnými pracovníky kompetenčních center. </w:t>
            </w:r>
          </w:p>
          <w:p w14:paraId="5060A1A1" w14:textId="348BFDCA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Posun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realizaci zadávacích řízení vč. rozhodování ÚOHS </w:t>
            </w:r>
          </w:p>
          <w:p w14:paraId="26258D48" w14:textId="77777777" w:rsidR="00C42CDB" w:rsidRPr="00535CE0" w:rsidRDefault="00C42CDB" w:rsidP="003466D7">
            <w:pPr>
              <w:pStyle w:val="K-TextInfo"/>
              <w:numPr>
                <w:ilvl w:val="0"/>
                <w:numId w:val="22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Riziko je nutné akceptovat. </w:t>
            </w:r>
          </w:p>
          <w:p w14:paraId="09A9DD4C" w14:textId="137DF108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implementaci jednotlivých systémů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služeb</w:t>
            </w:r>
          </w:p>
          <w:p w14:paraId="549B73CA" w14:textId="15B6D850" w:rsidR="00C42CDB" w:rsidRPr="00535CE0" w:rsidRDefault="00C42CDB" w:rsidP="003466D7">
            <w:pPr>
              <w:pStyle w:val="K-TextInfo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K eliminaci rizika slouží vícestupňový dohled nad realizací jednotlivých projektů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současně personální kapacity kompetenčních center, která budou moci poskytnout specialisty pro řešení situace.</w:t>
            </w:r>
          </w:p>
        </w:tc>
      </w:tr>
      <w:tr w:rsidR="00C42CDB" w:rsidRPr="00535CE0" w14:paraId="11C6CDEB" w14:textId="77777777" w:rsidTr="00C42CDB">
        <w:tc>
          <w:tcPr>
            <w:tcW w:w="2405" w:type="dxa"/>
          </w:tcPr>
          <w:p w14:paraId="62840564" w14:textId="5107335F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Cílové skupiny populace a</w:t>
            </w:r>
            <w:r w:rsidR="00EE51EC" w:rsidRPr="00535CE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ekonomické subjekty</w:t>
            </w:r>
          </w:p>
        </w:tc>
        <w:tc>
          <w:tcPr>
            <w:tcW w:w="7223" w:type="dxa"/>
          </w:tcPr>
          <w:p w14:paraId="7DCFB15B" w14:textId="3221200E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Primární cílovou skupinou jsou hlavní nositelé projektů, neboť se jedná především o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systémy zaměřené na digitalizaci vnitřního chodu úřadu, příp. výkonu agend vykonávaných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rámci přenesené působnosti. </w:t>
            </w:r>
          </w:p>
          <w:p w14:paraId="23D3DCB5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Sekundární cílovou skupinou je široká veřejnost využívající služby hlavních nositelů projektů.</w:t>
            </w:r>
          </w:p>
        </w:tc>
      </w:tr>
      <w:tr w:rsidR="00C42CDB" w:rsidRPr="00535CE0" w14:paraId="5C83777E" w14:textId="77777777" w:rsidTr="00C42CDB">
        <w:tc>
          <w:tcPr>
            <w:tcW w:w="2405" w:type="dxa"/>
          </w:tcPr>
          <w:p w14:paraId="12D672C3" w14:textId="58A23A77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Souhrnné náklady realizace financované z</w:t>
            </w:r>
            <w:r w:rsidR="00EE51EC" w:rsidRPr="00535CE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RRF za celé období</w:t>
            </w:r>
          </w:p>
        </w:tc>
        <w:tc>
          <w:tcPr>
            <w:tcW w:w="7223" w:type="dxa"/>
          </w:tcPr>
          <w:p w14:paraId="47FD53C5" w14:textId="5D3E2F76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Celkové náklady </w:t>
            </w:r>
            <w:r w:rsidR="00F91777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investic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hrazené z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RRF jsou </w:t>
            </w:r>
            <w:r w:rsidR="00E9585C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950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mil. Kč.</w:t>
            </w:r>
          </w:p>
        </w:tc>
      </w:tr>
      <w:tr w:rsidR="00C42CDB" w:rsidRPr="00535CE0" w14:paraId="7D25C347" w14:textId="77777777" w:rsidTr="00C42CDB">
        <w:tc>
          <w:tcPr>
            <w:tcW w:w="2405" w:type="dxa"/>
          </w:tcPr>
          <w:p w14:paraId="3A8C0F31" w14:textId="77777777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2A2F8C4A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Investice nezakládá veřejnou podporu.</w:t>
            </w:r>
          </w:p>
        </w:tc>
      </w:tr>
      <w:tr w:rsidR="00C42CDB" w:rsidRPr="00535CE0" w14:paraId="18C649AB" w14:textId="77777777" w:rsidTr="00C42CDB">
        <w:tc>
          <w:tcPr>
            <w:tcW w:w="2405" w:type="dxa"/>
          </w:tcPr>
          <w:p w14:paraId="2CC1772D" w14:textId="77777777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1505C0E8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Plánovaná doba realizace je 58 měsíců. Předpokládané dokončení je ve 4Q 2025.</w:t>
            </w:r>
          </w:p>
        </w:tc>
      </w:tr>
    </w:tbl>
    <w:p w14:paraId="0A04E03E" w14:textId="77777777" w:rsidR="00C42CDB" w:rsidRPr="00535CE0" w:rsidRDefault="00C42CDB" w:rsidP="002F5C22">
      <w:pPr>
        <w:pStyle w:val="K-Text"/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781B6A0F" w14:textId="27B45D97" w:rsidR="00C42CDB" w:rsidRPr="00535CE0" w:rsidRDefault="00C42CDB" w:rsidP="00174CDE">
      <w:pPr>
        <w:rPr>
          <w:rFonts w:cstheme="minorHAnsi"/>
          <w:b/>
          <w:szCs w:val="20"/>
        </w:rPr>
      </w:pPr>
      <w:r w:rsidRPr="00535CE0">
        <w:rPr>
          <w:rFonts w:cstheme="minorHAnsi"/>
          <w:b/>
          <w:szCs w:val="20"/>
        </w:rPr>
        <w:t>Kybernetická bezpečnost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C42CDB" w:rsidRPr="00535CE0" w14:paraId="1D27621E" w14:textId="77777777" w:rsidTr="00C42CDB">
        <w:tc>
          <w:tcPr>
            <w:tcW w:w="2405" w:type="dxa"/>
          </w:tcPr>
          <w:p w14:paraId="4EC0C2DA" w14:textId="77777777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53FFF358" w14:textId="48137B1A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Nedostatečné zajištění kybernetické bezpečnosti centrálních úřadů, institucí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poskytovatelů zdravotnických služeb. </w:t>
            </w:r>
            <w:r w:rsidR="00CA201E" w:rsidRPr="00CA201E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Dle Zprávy o stavu kybernetické bezpečnosti za rok 2019, kterou publikoval NÚKIB, dochází k nárůstu počtu kybernetických útoků proti institucím, organizacím a firmám v České republice. Terčem kybernetických útoků se v roce 2020 opakovaně stala i zdravotnická zařízení. S ohledem na zvyšující se počet kybernetických útoků je žádoucí u zmíněných subjektů kontinuálně pracovat na navyšovaní úrovně kybernetické bezpečnosti.</w:t>
            </w:r>
          </w:p>
        </w:tc>
      </w:tr>
      <w:tr w:rsidR="00C42CDB" w:rsidRPr="00535CE0" w14:paraId="678CE67B" w14:textId="77777777" w:rsidTr="00C42CDB">
        <w:tc>
          <w:tcPr>
            <w:tcW w:w="2405" w:type="dxa"/>
          </w:tcPr>
          <w:p w14:paraId="0AEBE900" w14:textId="77777777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17565F26" w14:textId="284EB2F7" w:rsidR="00C42CDB" w:rsidRPr="00535CE0" w:rsidRDefault="00261952" w:rsidP="002F5C22">
            <w:pPr>
              <w:pStyle w:val="K-TextInfo"/>
              <w:rPr>
                <w:rFonts w:asciiTheme="minorHAnsi" w:hAnsiTheme="minorHAnsi" w:cstheme="minorHAnsi"/>
                <w:sz w:val="20"/>
                <w:szCs w:val="20"/>
              </w:rPr>
            </w:pPr>
            <w:r w:rsidRPr="00261952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Zvýšit úroveň kybernetické bezpečnosti u centrálních úřadů, institucí, poskytovatelů zdravotnických služeb a dalších subjektů dle zákona o kybernetické bezpečnosti a souvisejících předpisů.</w:t>
            </w:r>
            <w: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C42CDB" w:rsidRPr="00535CE0" w14:paraId="25445EC3" w14:textId="77777777" w:rsidTr="00C42CDB">
        <w:tc>
          <w:tcPr>
            <w:tcW w:w="2405" w:type="dxa"/>
          </w:tcPr>
          <w:p w14:paraId="2372E6EF" w14:textId="77777777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60CF8BC7" w14:textId="77777777" w:rsidR="00BC66D9" w:rsidRDefault="009A4494" w:rsidP="002F5C22">
            <w:pPr>
              <w:pStyle w:val="K-TextInfo"/>
              <w:rPr>
                <w:i w:val="0"/>
                <w:color w:val="000000" w:themeColor="text1"/>
              </w:rPr>
            </w:pPr>
            <w:r w:rsidRPr="00CC2A6E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Budování digitalizované infrastruktury veřejné správy musí probíhat s maximálním důrazem na zajištění kybernetické bezpečnosti již v počátcích samotné výstavby. Samotný chod celé infrastruktury a její správa však musí také dbát na vysokou míru zabezpečení proti kybernetickým hrozbám. V tomto směru je potřeba reflektovat </w:t>
            </w:r>
            <w:r w:rsidRPr="00CC2A6E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lastRenderedPageBreak/>
              <w:t>aktuální bezpečnostní situaci, pravidelně provádět koordinovanou a kontinuální analýzu hrozeb a rizik a na jejím základě přijímat patřičná opatření.</w:t>
            </w:r>
            <w: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</w:p>
          <w:p w14:paraId="0A122808" w14:textId="25A393B4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Investice je složena ze sedmi částečně vzájemně propojených projektů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jednoho samostatného programu (detailněji viz Příloha). </w:t>
            </w:r>
            <w:r w:rsidR="00DC4FF8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T</w:t>
            </w:r>
            <w:r w:rsidR="00DC4FF8" w:rsidRPr="00AD592F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yto </w:t>
            </w:r>
            <w:r w:rsidR="00DC4FF8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</w:t>
            </w:r>
            <w:r w:rsidR="00DC4FF8" w:rsidRPr="00AD592F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rojekty </w:t>
            </w:r>
            <w:r w:rsidR="00DC4FF8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(a program) </w:t>
            </w:r>
            <w:r w:rsidR="00DC4FF8" w:rsidRPr="00AD592F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budou realizovány s ohledem na vize a cíle definované Národní strategií kybernetické bezpečnosti České republiky</w:t>
            </w:r>
            <w:r w:rsidR="00CC013D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,</w:t>
            </w:r>
            <w:r w:rsidR="00DC4FF8" w:rsidRPr="00AD592F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zákon o kybernetické bezpečnosti</w:t>
            </w:r>
            <w:r w:rsidR="00CC013D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a související předpisy</w:t>
            </w:r>
            <w:r w:rsidR="00DC4FF8" w:rsidRPr="00AD592F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.</w:t>
            </w:r>
            <w:r w:rsidR="00DC4FF8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Jejich koordinaci bude vykonávat programová kancelář Digitální Česko ve spolupráci s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Národním centrem elektronizace zdravotnictví, Ministerstvem vnitra jako gestorem kybernetické bezpečnosti veřejné správy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centrálních systémů kybernetické bezpečnosti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Ministerstvem zahraničních věcí. </w:t>
            </w:r>
          </w:p>
          <w:p w14:paraId="75968023" w14:textId="1E2BD916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Programová kancelář programu Digitální Česko bude mít ve vrcholných řídících strukturách projektů svého zástupce, který bude monitorovat vývoj projektu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čase vč. stavu naplňování jeho indikátorů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v případě problémů je bude neprodleně eskalovat na úroveň vládního zmocněnce pro IT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digitalizaci. Vedení programové kanceláře bude o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běhu projektu informováno na pravidelné cca měsíční bázi.</w:t>
            </w:r>
          </w:p>
          <w:p w14:paraId="29BEB8A0" w14:textId="0490E870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Nositelem programu Kybernetické bezpečnosti poskytovatelů zdravotní péče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Praze je Ministerstvo zdravotnictví ve spolupráci s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Národním centrem elektronizace zdravotnictví.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NCeZ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 vytvoří </w:t>
            </w:r>
            <w:r w:rsidR="004C1832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na základě </w:t>
            </w:r>
            <w:r w:rsidR="004C1832" w:rsidRPr="004C1832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Minimálního bezpečnostního standardu</w:t>
            </w:r>
            <w:r w:rsidR="004C1832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 (</w:t>
            </w:r>
            <w:r w:rsidR="00FE1A1B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vydaného NÚKIB) vlastní 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standardy kybernetické bezpečnosti</w:t>
            </w:r>
            <w:r w:rsidR="009A3A8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 se zahrnutím specifik </w:t>
            </w:r>
            <w:r w:rsidR="00694969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poskytovatelů </w:t>
            </w:r>
            <w:proofErr w:type="spellStart"/>
            <w:r w:rsidR="00694969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zdravoní</w:t>
            </w:r>
            <w:proofErr w:type="spellEnd"/>
            <w:r w:rsidR="00694969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 péče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.  </w:t>
            </w:r>
            <w:r w:rsidRPr="00535C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</w:p>
          <w:p w14:paraId="14BD99FC" w14:textId="1F5366C6" w:rsidR="00C42CDB" w:rsidRPr="00535CE0" w:rsidRDefault="00C42CDB" w:rsidP="002F5C22">
            <w:pPr>
              <w:pStyle w:val="K-TextInfo"/>
              <w:spacing w:after="0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Investice do oblasti kybernetické bezpečnosti je zaměřena především na centrální orgány státní správy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resortu Ministerstva zdravotnictví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na poskytovatele zdravotních služeb ve smyslu zákona č. 372/2011 Sb., působící na území hl. m. Prahy, přičemž cílem investice je zajištění rozvoje kybernetické bezpečnosti těchto organizací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jimi provozovaných informačních systémů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obecně zvýšení odolnosti státní správy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organizací poskytujících zdravotní služby. </w:t>
            </w:r>
          </w:p>
          <w:p w14:paraId="48C91371" w14:textId="5CA36D23" w:rsidR="00C42CDB" w:rsidRPr="00535CE0" w:rsidRDefault="00C42CDB" w:rsidP="002F5C22">
            <w:pPr>
              <w:pStyle w:val="K-TextInfo"/>
              <w:spacing w:after="0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Inovativnost investice spočívá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nastolení komplexního přístupu k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zajištění kybernetické bezpečnosti napříč sektorem zdravotních služeb, přičemž bude pokrývat výraznou většinu komponent jak centrální, tak i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lokální ICT infrastruktury ve zdravotnictví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cílovém regionu. Zaměří se na (i) zajištění podmínek pro bezproblémové fungování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rozvoj informačních služeb; (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ii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) budování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rozvoj znalostní základny, umožňující prevenci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detekci hrozeb, včetně definice účelného postupu pro jejich předcházení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mitigaci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; (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iii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) podporu partnerů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plnění závazků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oblasti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eHealth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souladu s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národní legislativou, legislativou EU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přijatými strategiemi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této oblasti; (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iv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) zajištění rozvoje bezpečnostních infrastruktury informačních systémů provozovatelů základní služby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celkové bezpečnosti informační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komunikační infrastruktury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sektoru zdravotnictví; (v) budování důvěry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efektivního modelu spolupráce s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národním </w:t>
            </w:r>
            <w:r w:rsidR="008B032D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vládním 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CERT (národním koordinačním místem pro okamžitou reakci na kybernetické bezpečnostní incidenty provozovaným Národním úřadem pro kybernetickou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informační bezpečnost)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resortním kompetenčním centrem kybernetické bezpečnosti (součást Národního centra elektronického zdravotnictví).</w:t>
            </w:r>
          </w:p>
          <w:p w14:paraId="04C02984" w14:textId="77777777" w:rsidR="00C42CDB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Dílčí projekty budu realizovány poskytovateli zdravotních služeb ve spolupráci se specializovanými organizacemi za podmínek KPI stanovených Národním centrem elektronického zdravotnictví.</w:t>
            </w:r>
          </w:p>
          <w:p w14:paraId="64FBA70C" w14:textId="09047E34" w:rsidR="00E21279" w:rsidRPr="00AD592F" w:rsidRDefault="00E21279" w:rsidP="002F5C22">
            <w:pPr>
              <w:pStyle w:val="K-TextInfo"/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Jednotlivé projekty jsou v různých fázích přípravy. Vždy však mají připravenou a schválenou interní projektovou dokumentaci. Většina projektů je pak ve stádiu příprav zadávací dokumentace a dalších nezbytných administrativních </w:t>
            </w:r>
            <w:r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>kroků</w:t>
            </w:r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 v podobě </w:t>
            </w:r>
            <w:r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>tvorby</w:t>
            </w:r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 architektonického modelu služby či systému (</w:t>
            </w:r>
            <w:r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jako podkladu pro Stanovisko </w:t>
            </w:r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odboru hlavního architekta </w:t>
            </w:r>
            <w:proofErr w:type="spellStart"/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>eGovernmentu</w:t>
            </w:r>
            <w:proofErr w:type="spellEnd"/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>) a </w:t>
            </w:r>
            <w:r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podání </w:t>
            </w:r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informace na vládu o záměru učinit výdaj (na základě Usnesení vlády č. 86/2020).  </w:t>
            </w:r>
          </w:p>
        </w:tc>
      </w:tr>
      <w:tr w:rsidR="00C42CDB" w:rsidRPr="00535CE0" w14:paraId="5E2C5C1B" w14:textId="77777777" w:rsidTr="00C42CDB">
        <w:trPr>
          <w:trHeight w:val="70"/>
        </w:trPr>
        <w:tc>
          <w:tcPr>
            <w:tcW w:w="2405" w:type="dxa"/>
          </w:tcPr>
          <w:p w14:paraId="4AF42BCA" w14:textId="5742260A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Spolupráce a</w:t>
            </w:r>
            <w:r w:rsidR="00EE51EC" w:rsidRPr="00535CE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zapojení zúčastněných stran</w:t>
            </w:r>
          </w:p>
        </w:tc>
        <w:tc>
          <w:tcPr>
            <w:tcW w:w="7223" w:type="dxa"/>
          </w:tcPr>
          <w:p w14:paraId="1440D321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Hlavními nositeli jednotlivých programů jsou:</w:t>
            </w:r>
          </w:p>
          <w:p w14:paraId="15F05E4D" w14:textId="77777777" w:rsidR="00C42CDB" w:rsidRPr="00535CE0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Ministerstvo vnitra</w:t>
            </w:r>
          </w:p>
          <w:p w14:paraId="415E641F" w14:textId="77777777" w:rsidR="00C42CDB" w:rsidRPr="00535CE0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lastRenderedPageBreak/>
              <w:t xml:space="preserve">Ministerstvo zdravotnictví </w:t>
            </w:r>
          </w:p>
          <w:p w14:paraId="5D33E349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Hlavními nositeli jednotlivých projektů jsou:</w:t>
            </w:r>
          </w:p>
          <w:p w14:paraId="2AA3422F" w14:textId="47D8ECF8" w:rsidR="00C42CDB" w:rsidRPr="00535CE0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Ministerstvo vnitra a</w:t>
            </w:r>
            <w:r w:rsidR="00EE51EC" w:rsidRPr="00535CE0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jím zřizované organizace</w:t>
            </w:r>
          </w:p>
          <w:p w14:paraId="542ED6AC" w14:textId="77777777" w:rsidR="00C42CDB" w:rsidRPr="00535CE0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Ministerstvo zahraničních věcí</w:t>
            </w:r>
          </w:p>
          <w:p w14:paraId="23EE56E8" w14:textId="77777777" w:rsidR="00C42CDB" w:rsidRPr="00535CE0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Národní centrum elektronizace zdravotnictví</w:t>
            </w:r>
          </w:p>
          <w:p w14:paraId="0988D4A2" w14:textId="77777777" w:rsidR="00C42CDB" w:rsidRPr="00535CE0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Poskytovatelé zdravotnických služeb</w:t>
            </w:r>
          </w:p>
          <w:p w14:paraId="6151EFDD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Do realizace projektů budou dále zapojeni:</w:t>
            </w:r>
          </w:p>
          <w:p w14:paraId="5745BF89" w14:textId="423BBEE0" w:rsidR="00D77658" w:rsidRDefault="00D77658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Národní úřad pro kybernetickou a informační bezpečnost</w:t>
            </w:r>
          </w:p>
          <w:p w14:paraId="09167018" w14:textId="51910047" w:rsidR="00E81962" w:rsidRDefault="00E81962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NAKIT, </w:t>
            </w:r>
            <w:proofErr w:type="spellStart"/>
            <w:r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s.p</w:t>
            </w:r>
            <w:proofErr w:type="spellEnd"/>
            <w:r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.</w:t>
            </w:r>
          </w:p>
          <w:p w14:paraId="1F6BE726" w14:textId="1E845F39" w:rsidR="00C42CDB" w:rsidRPr="00535CE0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  <w:t>Krajské úřady, které jsou zřizovateli poskytovatelů zdravotnických služeb</w:t>
            </w:r>
          </w:p>
          <w:p w14:paraId="098F6BEF" w14:textId="77777777" w:rsidR="00C42CDB" w:rsidRPr="00535CE0" w:rsidRDefault="00C42CDB" w:rsidP="003466D7">
            <w:pPr>
              <w:pStyle w:val="K-TextInfo"/>
              <w:numPr>
                <w:ilvl w:val="0"/>
                <w:numId w:val="14"/>
              </w:numPr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Municipality, které jsou zřizovateli poskytovatelů zdravotnických služeb</w:t>
            </w:r>
          </w:p>
        </w:tc>
      </w:tr>
      <w:tr w:rsidR="00C42CDB" w:rsidRPr="00535CE0" w14:paraId="37C50E15" w14:textId="77777777" w:rsidTr="00C42CDB">
        <w:tc>
          <w:tcPr>
            <w:tcW w:w="2405" w:type="dxa"/>
          </w:tcPr>
          <w:p w14:paraId="66D65F0F" w14:textId="0AD9D6D4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Překážky a</w:t>
            </w:r>
            <w:r w:rsidR="00EE51EC" w:rsidRPr="00535CE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rizika</w:t>
            </w:r>
          </w:p>
        </w:tc>
        <w:tc>
          <w:tcPr>
            <w:tcW w:w="7223" w:type="dxa"/>
          </w:tcPr>
          <w:p w14:paraId="4909A7D4" w14:textId="1851B81A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přípravě jednotlivých zadávacích dokumentací</w:t>
            </w:r>
          </w:p>
          <w:p w14:paraId="127840A4" w14:textId="3854ECAC" w:rsidR="00C42CDB" w:rsidRPr="00535CE0" w:rsidRDefault="00C42CDB" w:rsidP="003466D7">
            <w:pPr>
              <w:pStyle w:val="K-TextInfo"/>
              <w:numPr>
                <w:ilvl w:val="0"/>
                <w:numId w:val="22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Pro eliminaci rizika budou při hrozícím skluzu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přípravě zadávacích dokumentací využity eskalační procedury na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, příp. na programovou kancelář Digitální Česko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následně využity personální kapacity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, příp. dalších kompetenčních center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závislosti na potřebných odbornostech.</w:t>
            </w:r>
          </w:p>
          <w:p w14:paraId="2A549824" w14:textId="320D4D62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Zahlcení OHA při vydávání stanovisek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s tím související delší vydávání souhlasných stanovisek </w:t>
            </w:r>
          </w:p>
          <w:p w14:paraId="0A5D5846" w14:textId="09B24BB9" w:rsidR="00C42CDB" w:rsidRPr="00535CE0" w:rsidRDefault="00C42CDB" w:rsidP="003466D7">
            <w:pPr>
              <w:pStyle w:val="K-TextInfo"/>
              <w:numPr>
                <w:ilvl w:val="0"/>
                <w:numId w:val="22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Pro eliminaci rizika budou při hrozícím skluzu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přípravě vydávání stanovisek OHA využity eskalační procedury na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, příp. na programovou kancelář Digitální Česko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Radu vlády pro informační společnost s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požadavkem na doplnění kapacit OHA.</w:t>
            </w:r>
          </w:p>
          <w:p w14:paraId="3A103BF0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Nekvalitní architektonické návrhy, které si vyžádají opakované projednávání</w:t>
            </w:r>
          </w:p>
          <w:p w14:paraId="1BD83D1B" w14:textId="2BEF6D9C" w:rsidR="00C42CDB" w:rsidRPr="00535CE0" w:rsidRDefault="00C42CDB" w:rsidP="003466D7">
            <w:pPr>
              <w:pStyle w:val="K-TextInfo"/>
              <w:numPr>
                <w:ilvl w:val="0"/>
                <w:numId w:val="22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Pro eliminaci rizika budou využívány konzultace architektonických návrhů s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příslušnými pracovníky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. </w:t>
            </w:r>
          </w:p>
          <w:p w14:paraId="51AD0342" w14:textId="6C1928BE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Posun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realizaci zadávacích řízení vč. rozhodování ÚOHS </w:t>
            </w:r>
          </w:p>
          <w:p w14:paraId="7562DBA2" w14:textId="77777777" w:rsidR="00C42CDB" w:rsidRPr="00535CE0" w:rsidRDefault="00C42CDB" w:rsidP="003466D7">
            <w:pPr>
              <w:pStyle w:val="K-TextInfo"/>
              <w:numPr>
                <w:ilvl w:val="0"/>
                <w:numId w:val="22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Riziko je nutné akceptovat. </w:t>
            </w:r>
          </w:p>
          <w:p w14:paraId="6C90BBD4" w14:textId="56631DA6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implementaci jednotlivých systémů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služeb</w:t>
            </w:r>
          </w:p>
          <w:p w14:paraId="0782961A" w14:textId="38C82422" w:rsidR="00C42CDB" w:rsidRPr="00535CE0" w:rsidRDefault="00C42CDB" w:rsidP="003466D7">
            <w:pPr>
              <w:pStyle w:val="K-TextInfo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K eliminaci rizika slouží vícestupňový dohled nad realizací jednotlivých projektů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současně personální kapacity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, příp. dalších kompetenčních center, která budou moci poskytnout specialisty pro řešení situace.</w:t>
            </w:r>
          </w:p>
        </w:tc>
      </w:tr>
      <w:tr w:rsidR="00C42CDB" w:rsidRPr="00535CE0" w14:paraId="59D1B3D4" w14:textId="77777777" w:rsidTr="00C42CDB">
        <w:tc>
          <w:tcPr>
            <w:tcW w:w="2405" w:type="dxa"/>
          </w:tcPr>
          <w:p w14:paraId="1DB9FCAB" w14:textId="4F03AE8C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Cílové skupiny populace a</w:t>
            </w:r>
            <w:r w:rsidR="00EE51EC" w:rsidRPr="00535CE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ekonomické subjekty</w:t>
            </w:r>
          </w:p>
        </w:tc>
        <w:tc>
          <w:tcPr>
            <w:tcW w:w="7223" w:type="dxa"/>
          </w:tcPr>
          <w:p w14:paraId="031EF914" w14:textId="0CCB051E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Primární cílovou skupinou jsou hlavní nositelé projektů, neboť se jedná především o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systémy zaměřené na digitalizaci vnitřního chodu úřadu, příp. výkonu agend vykonávaných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rámci přenesené působnosti. </w:t>
            </w:r>
          </w:p>
          <w:p w14:paraId="56461648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Sekundární cílovou skupinou je široká veřejnost využívající služby hlavních nositelů projektů.</w:t>
            </w:r>
          </w:p>
        </w:tc>
      </w:tr>
      <w:tr w:rsidR="00C42CDB" w:rsidRPr="00535CE0" w14:paraId="26652A46" w14:textId="77777777" w:rsidTr="00C42CDB">
        <w:tc>
          <w:tcPr>
            <w:tcW w:w="2405" w:type="dxa"/>
          </w:tcPr>
          <w:p w14:paraId="5CECBD88" w14:textId="2984AD07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Souhrnné náklady realizace financované z</w:t>
            </w:r>
            <w:r w:rsidR="00EE51EC" w:rsidRPr="00535CE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RRF za celé období</w:t>
            </w:r>
          </w:p>
        </w:tc>
        <w:tc>
          <w:tcPr>
            <w:tcW w:w="7223" w:type="dxa"/>
          </w:tcPr>
          <w:p w14:paraId="012FEB5E" w14:textId="6E3469D2" w:rsidR="00C42CDB" w:rsidRPr="00535CE0" w:rsidRDefault="00C42CDB" w:rsidP="002F5C22">
            <w:pPr>
              <w:pStyle w:val="K-TextInfo"/>
              <w:rPr>
                <w:rFonts w:asciiTheme="minorHAnsi" w:hAnsiTheme="minorHAnsi" w:cstheme="minorBidi"/>
                <w:sz w:val="20"/>
                <w:szCs w:val="20"/>
              </w:rPr>
            </w:pPr>
            <w:r w:rsidRPr="02CD191C">
              <w:rPr>
                <w:rFonts w:asciiTheme="minorHAnsi" w:hAnsiTheme="minorHAnsi" w:cstheme="minorBidi"/>
                <w:i w:val="0"/>
                <w:color w:val="000000" w:themeColor="text1"/>
                <w:sz w:val="20"/>
                <w:szCs w:val="20"/>
              </w:rPr>
              <w:t xml:space="preserve">Celkové náklady </w:t>
            </w:r>
            <w:r w:rsidR="00F91777" w:rsidRPr="02CD191C">
              <w:rPr>
                <w:rFonts w:asciiTheme="minorHAnsi" w:hAnsiTheme="minorHAnsi" w:cstheme="minorBidi"/>
                <w:i w:val="0"/>
                <w:color w:val="000000" w:themeColor="text1"/>
                <w:sz w:val="20"/>
                <w:szCs w:val="20"/>
              </w:rPr>
              <w:t>investice</w:t>
            </w:r>
            <w:r w:rsidRPr="02CD191C">
              <w:rPr>
                <w:rFonts w:asciiTheme="minorHAnsi" w:hAnsiTheme="minorHAnsi" w:cstheme="minorBidi"/>
                <w:i w:val="0"/>
                <w:color w:val="000000" w:themeColor="text1"/>
                <w:sz w:val="20"/>
                <w:szCs w:val="20"/>
              </w:rPr>
              <w:t xml:space="preserve"> hrazené z</w:t>
            </w:r>
            <w:r w:rsidR="00EE51EC" w:rsidRPr="02CD191C">
              <w:rPr>
                <w:rFonts w:asciiTheme="minorHAnsi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02CD191C">
              <w:rPr>
                <w:rFonts w:asciiTheme="minorHAnsi" w:hAnsiTheme="minorHAnsi" w:cstheme="minorBidi"/>
                <w:i w:val="0"/>
                <w:color w:val="000000" w:themeColor="text1"/>
                <w:sz w:val="20"/>
                <w:szCs w:val="20"/>
              </w:rPr>
              <w:t xml:space="preserve">RRF jsou </w:t>
            </w:r>
            <w:r w:rsidR="00E9585C" w:rsidRPr="02CD191C">
              <w:rPr>
                <w:rFonts w:asciiTheme="minorHAnsi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26</w:t>
            </w:r>
            <w:r w:rsidR="06A58C81" w:rsidRPr="02CD191C">
              <w:rPr>
                <w:rFonts w:asciiTheme="minorHAnsi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94,96</w:t>
            </w:r>
            <w:r w:rsidR="00E9585C" w:rsidRPr="02CD191C">
              <w:rPr>
                <w:rFonts w:asciiTheme="minorHAnsi" w:hAnsiTheme="minorHAnsi" w:cstheme="minorBidi"/>
                <w:i w:val="0"/>
                <w:color w:val="000000" w:themeColor="text1"/>
                <w:sz w:val="20"/>
                <w:szCs w:val="20"/>
              </w:rPr>
              <w:t xml:space="preserve"> </w:t>
            </w:r>
            <w:r w:rsidRPr="02CD191C">
              <w:rPr>
                <w:rFonts w:asciiTheme="minorHAnsi" w:hAnsiTheme="minorHAnsi" w:cstheme="minorBidi"/>
                <w:i w:val="0"/>
                <w:color w:val="000000" w:themeColor="text1"/>
                <w:sz w:val="20"/>
                <w:szCs w:val="20"/>
              </w:rPr>
              <w:t>mil. Kč.</w:t>
            </w:r>
          </w:p>
        </w:tc>
      </w:tr>
      <w:tr w:rsidR="00C42CDB" w:rsidRPr="00535CE0" w14:paraId="640C2755" w14:textId="77777777" w:rsidTr="00C42CDB">
        <w:tc>
          <w:tcPr>
            <w:tcW w:w="2405" w:type="dxa"/>
          </w:tcPr>
          <w:p w14:paraId="121390F5" w14:textId="77777777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13ACB799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Investice nezakládá veřejnou podporu.</w:t>
            </w:r>
          </w:p>
        </w:tc>
      </w:tr>
      <w:tr w:rsidR="00C42CDB" w:rsidRPr="00535CE0" w14:paraId="45111658" w14:textId="77777777" w:rsidTr="00C42CDB">
        <w:tc>
          <w:tcPr>
            <w:tcW w:w="2405" w:type="dxa"/>
          </w:tcPr>
          <w:p w14:paraId="414DD9A8" w14:textId="77777777" w:rsidR="00C42CDB" w:rsidRPr="00535CE0" w:rsidRDefault="00C42CDB" w:rsidP="002F5C22">
            <w:pPr>
              <w:pStyle w:val="K-Text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62A3E83B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Plánovaná doba realizace je 58 měsíců. Předpokládané dokončení je ve 4Q 2025.</w:t>
            </w:r>
          </w:p>
        </w:tc>
      </w:tr>
    </w:tbl>
    <w:p w14:paraId="3B9311EC" w14:textId="77777777" w:rsidR="00C42CDB" w:rsidRPr="00535CE0" w:rsidRDefault="00C42CDB" w:rsidP="002F5C22">
      <w:pPr>
        <w:pStyle w:val="K-Text"/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1423706A" w14:textId="4D7720DA" w:rsidR="00C42CDB" w:rsidRPr="00535CE0" w:rsidRDefault="00C42CDB" w:rsidP="00174CDE">
      <w:pPr>
        <w:rPr>
          <w:rFonts w:cstheme="minorHAnsi"/>
          <w:b/>
          <w:szCs w:val="20"/>
        </w:rPr>
      </w:pPr>
      <w:r w:rsidRPr="00535CE0">
        <w:rPr>
          <w:rFonts w:cstheme="minorHAnsi"/>
          <w:b/>
          <w:szCs w:val="20"/>
        </w:rPr>
        <w:t>Vytvoření předpokladů pro digitální justici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C42CDB" w:rsidRPr="00535CE0" w14:paraId="33B38A82" w14:textId="77777777" w:rsidTr="00C42CDB">
        <w:tc>
          <w:tcPr>
            <w:tcW w:w="2405" w:type="dxa"/>
          </w:tcPr>
          <w:p w14:paraId="2E9C58A4" w14:textId="77777777" w:rsidR="00C42CDB" w:rsidRPr="00535CE0" w:rsidRDefault="00C42CDB" w:rsidP="002F5C22">
            <w:pPr>
              <w:pStyle w:val="K-Text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3F016604" w14:textId="4857671A" w:rsidR="00C42CDB" w:rsidRPr="00535CE0" w:rsidRDefault="00C42CDB" w:rsidP="002F5C22">
            <w:pPr>
              <w:pStyle w:val="K-TextInfo"/>
              <w:rPr>
                <w:rStyle w:val="K-Nadpis3Char"/>
                <w:rFonts w:asciiTheme="minorHAnsi" w:hAnsiTheme="minorHAnsi" w:cstheme="minorHAnsi"/>
                <w:b w:val="0"/>
                <w:i w:val="0"/>
                <w:iCs w:val="0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V současnosti resort justice nedisponuje dostačujícími technickými prostředky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infrastrukturou, aby byl schopen poskytovat své služby i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v době omezení fyzických kontaktů na požadované úrovni. Z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tohoto důvodu je třeba posílit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modernizovat pracovní zázemí.</w:t>
            </w:r>
            <w:r w:rsidRPr="00535CE0">
              <w:rPr>
                <w:rStyle w:val="K-Nadpis3Char"/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  <w:t xml:space="preserve"> </w:t>
            </w:r>
          </w:p>
        </w:tc>
      </w:tr>
      <w:tr w:rsidR="00C42CDB" w:rsidRPr="00535CE0" w14:paraId="2456EB92" w14:textId="77777777" w:rsidTr="00C42CDB">
        <w:tc>
          <w:tcPr>
            <w:tcW w:w="2405" w:type="dxa"/>
          </w:tcPr>
          <w:p w14:paraId="09D57C04" w14:textId="77777777" w:rsidR="00C42CDB" w:rsidRPr="00535CE0" w:rsidRDefault="00C42CDB" w:rsidP="002F5C22">
            <w:pPr>
              <w:pStyle w:val="K-Text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5E035050" w14:textId="7F6AE552" w:rsidR="00C42CDB" w:rsidRPr="00535CE0" w:rsidRDefault="00C42CDB" w:rsidP="002F5C22">
            <w:pPr>
              <w:pStyle w:val="K-TextInfo"/>
              <w:rPr>
                <w:rFonts w:asciiTheme="minorHAnsi" w:eastAsia="Calibri" w:hAnsiTheme="minorHAnsi" w:cstheme="minorHAnsi"/>
                <w:color w:val="2196FF" w:themeColor="accent2" w:themeTint="99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Cílem projektu je zajištění moderního pracovního prostředí pro zaměstnance resortu justice na takové úrovni, aby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krizových situacích, jakou je například pandemie Covid-19, nedocházelo k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omezování práceschopnosti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snižování kvality poskytovaných služeb. </w:t>
            </w:r>
          </w:p>
          <w:p w14:paraId="402CE301" w14:textId="21E591FE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Rozšířením videokonferenčních setů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resortu justice chceme dosáhnout vyšší odolnosti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flexibility veškerých pracovních procesů. </w:t>
            </w:r>
          </w:p>
          <w:p w14:paraId="4299E0EE" w14:textId="011A8241" w:rsidR="00C42CDB" w:rsidRPr="00535CE0" w:rsidRDefault="00C42CDB" w:rsidP="002F5C22">
            <w:pPr>
              <w:pStyle w:val="K-TextInfo"/>
              <w:rPr>
                <w:rFonts w:asciiTheme="minorHAnsi" w:eastAsia="Calibri" w:hAnsiTheme="minorHAnsi" w:cstheme="minorHAnsi"/>
                <w:i w:val="0"/>
                <w:iCs w:val="0"/>
                <w:color w:val="auto"/>
                <w:sz w:val="20"/>
                <w:szCs w:val="20"/>
              </w:rPr>
            </w:pPr>
            <w:r w:rsidRPr="00535CE0">
              <w:rPr>
                <w:rFonts w:asciiTheme="minorHAnsi" w:eastAsia="Calibri" w:hAnsiTheme="minorHAnsi" w:cstheme="minorHAnsi"/>
                <w:i w:val="0"/>
                <w:iCs w:val="0"/>
                <w:color w:val="auto"/>
                <w:sz w:val="20"/>
                <w:szCs w:val="20"/>
              </w:rPr>
              <w:t>Vzhledem k</w:t>
            </w:r>
            <w:r w:rsidR="00EE51EC" w:rsidRPr="00535CE0">
              <w:rPr>
                <w:rFonts w:asciiTheme="minorHAnsi" w:eastAsia="Calibr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eastAsia="Calibri" w:hAnsiTheme="minorHAnsi" w:cstheme="minorHAnsi"/>
                <w:i w:val="0"/>
                <w:iCs w:val="0"/>
                <w:color w:val="auto"/>
                <w:sz w:val="20"/>
                <w:szCs w:val="20"/>
              </w:rPr>
              <w:t>vyššímu využití distanční práce je nezbytné posílení centrální infrastruktury, a</w:t>
            </w:r>
            <w:r w:rsidR="00EE51EC" w:rsidRPr="00535CE0">
              <w:rPr>
                <w:rFonts w:asciiTheme="minorHAnsi" w:eastAsia="Calibr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eastAsia="Calibri" w:hAnsiTheme="minorHAnsi" w:cstheme="minorHAnsi"/>
                <w:i w:val="0"/>
                <w:iCs w:val="0"/>
                <w:color w:val="auto"/>
                <w:sz w:val="20"/>
                <w:szCs w:val="20"/>
              </w:rPr>
              <w:t>to z</w:t>
            </w:r>
            <w:r w:rsidR="00EE51EC" w:rsidRPr="00535CE0">
              <w:rPr>
                <w:rFonts w:asciiTheme="minorHAnsi" w:eastAsia="Calibr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eastAsia="Calibri" w:hAnsiTheme="minorHAnsi" w:cstheme="minorHAnsi"/>
                <w:i w:val="0"/>
                <w:iCs w:val="0"/>
                <w:color w:val="auto"/>
                <w:sz w:val="20"/>
                <w:szCs w:val="20"/>
              </w:rPr>
              <w:t>důvodu její nedostatečné kapacity pro souběžné zapojení potřebného počtu zaměstnanců v</w:t>
            </w:r>
            <w:r w:rsidR="00EE51EC" w:rsidRPr="00535CE0">
              <w:rPr>
                <w:rFonts w:asciiTheme="minorHAnsi" w:eastAsia="Calibr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eastAsia="Calibr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resortu. </w:t>
            </w:r>
          </w:p>
        </w:tc>
      </w:tr>
      <w:tr w:rsidR="00C42CDB" w:rsidRPr="00535CE0" w14:paraId="2C31475B" w14:textId="77777777" w:rsidTr="00C42CDB">
        <w:tc>
          <w:tcPr>
            <w:tcW w:w="2405" w:type="dxa"/>
          </w:tcPr>
          <w:p w14:paraId="3598031A" w14:textId="77777777" w:rsidR="00C42CDB" w:rsidRPr="00535CE0" w:rsidRDefault="00C42CDB" w:rsidP="002F5C22">
            <w:pPr>
              <w:pStyle w:val="K-Text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23BBC5BA" w14:textId="6272EF99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Investice je složena ze </w:t>
            </w:r>
            <w:r w:rsidR="002118B6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tří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vzájemně propojených projektů (detailnější informace o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jednotlivých projektech viz Příloha). Jejich koordinaci bude vykonávat Ministerstvo spravedlnosti ve spolupráci s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programovou kanceláří Digitální Česko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Ministerstvem vnitra jako gestorem digitalizace veřejné správy. </w:t>
            </w:r>
          </w:p>
          <w:p w14:paraId="632CA310" w14:textId="77777777" w:rsidR="00C42CDB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Programová kancelář programu Digitální Česko bude mít ve vrcholných řídících strukturách projektů svého zástupce, který bude monitorovat vývoj projektu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čase vč. stavu naplňování jeho indikátorů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v případě problémů je bude neprodleně eskalovat na úroveň vládního zmocněnce pro IT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digitalizaci. Vedení programové kanceláře bude o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běhu projektu informováno na pravidelné cca měsíční bázi.</w:t>
            </w:r>
          </w:p>
          <w:p w14:paraId="759D3CC5" w14:textId="46BE2A08" w:rsidR="00E21279" w:rsidRPr="00AD592F" w:rsidRDefault="00E21279" w:rsidP="002F5C22">
            <w:pPr>
              <w:pStyle w:val="K-TextInfo"/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Jednotlivé projekty jsou v různých fázích přípravy. Vždy však mají připravenou a schválenou interní projektovou dokumentaci. Většina projektů je pak ve stádiu příprav zadávací dokumentace a dalších nezbytných administrativních </w:t>
            </w:r>
            <w:r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>kroků</w:t>
            </w:r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 v podobě </w:t>
            </w:r>
            <w:r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tvorby </w:t>
            </w:r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>architektonického modelu (</w:t>
            </w:r>
            <w:r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jako podkladu pro Stanovisko </w:t>
            </w:r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odboru hlavního architekta </w:t>
            </w:r>
            <w:proofErr w:type="spellStart"/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>eGovernmentu</w:t>
            </w:r>
            <w:proofErr w:type="spellEnd"/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>) a </w:t>
            </w:r>
            <w:r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podání </w:t>
            </w:r>
            <w:r w:rsidRPr="00535CE0">
              <w:rPr>
                <w:rFonts w:asciiTheme="minorHAnsi" w:eastAsia="Times New Roman" w:hAnsiTheme="minorHAnsi" w:cstheme="minorHAnsi"/>
                <w:i w:val="0"/>
                <w:color w:val="000000" w:themeColor="text1"/>
                <w:sz w:val="20"/>
                <w:szCs w:val="20"/>
              </w:rPr>
              <w:t xml:space="preserve">informace na vládu o záměru učinit výdaj (na základě Usnesení vlády č. 86/2020).  </w:t>
            </w:r>
          </w:p>
        </w:tc>
      </w:tr>
      <w:tr w:rsidR="00C42CDB" w:rsidRPr="00535CE0" w14:paraId="064F230F" w14:textId="77777777" w:rsidTr="00C42CDB">
        <w:trPr>
          <w:trHeight w:val="70"/>
        </w:trPr>
        <w:tc>
          <w:tcPr>
            <w:tcW w:w="2405" w:type="dxa"/>
          </w:tcPr>
          <w:p w14:paraId="798B3636" w14:textId="54B32761" w:rsidR="00C42CDB" w:rsidRPr="00535CE0" w:rsidRDefault="00C42CDB" w:rsidP="002F5C22">
            <w:pPr>
              <w:pStyle w:val="K-Text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Spolupráce a</w:t>
            </w:r>
            <w:r w:rsidR="00EE51EC" w:rsidRPr="00535CE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zapojení zúčastněných stran</w:t>
            </w:r>
          </w:p>
        </w:tc>
        <w:tc>
          <w:tcPr>
            <w:tcW w:w="7223" w:type="dxa"/>
          </w:tcPr>
          <w:p w14:paraId="6CABB2BF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Hlavním nositelem investice je Ministerstvo spravedlnosti – odbor informatiky.</w:t>
            </w:r>
          </w:p>
          <w:p w14:paraId="11F5306B" w14:textId="4F450BA1" w:rsidR="0012550F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Spolupracujícími útvary jsou pak odbor investic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majetku Ministerstva spravedlnosti ČR s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ostatními věcně příslušnými odbory dotčených složek.</w:t>
            </w:r>
          </w:p>
        </w:tc>
      </w:tr>
      <w:tr w:rsidR="00C42CDB" w:rsidRPr="00535CE0" w14:paraId="314415AE" w14:textId="77777777" w:rsidTr="00C42CDB">
        <w:tc>
          <w:tcPr>
            <w:tcW w:w="2405" w:type="dxa"/>
          </w:tcPr>
          <w:p w14:paraId="2500B40B" w14:textId="7E5BAA94" w:rsidR="00C42CDB" w:rsidRPr="00535CE0" w:rsidRDefault="00C42CDB" w:rsidP="002F5C22">
            <w:pPr>
              <w:pStyle w:val="K-Text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Překážky a</w:t>
            </w:r>
            <w:r w:rsidR="00EE51EC" w:rsidRPr="00535CE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rizika</w:t>
            </w:r>
          </w:p>
        </w:tc>
        <w:tc>
          <w:tcPr>
            <w:tcW w:w="7223" w:type="dxa"/>
          </w:tcPr>
          <w:p w14:paraId="2707C950" w14:textId="682D4E52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přípravě jednotlivých zadávacích dokumentací</w:t>
            </w:r>
          </w:p>
          <w:p w14:paraId="70C2C831" w14:textId="336BD899" w:rsidR="00C42CDB" w:rsidRPr="00535CE0" w:rsidRDefault="00C42CDB" w:rsidP="003466D7">
            <w:pPr>
              <w:pStyle w:val="K-TextInfo"/>
              <w:numPr>
                <w:ilvl w:val="0"/>
                <w:numId w:val="22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Pro eliminaci rizika budou při hrozícím skluzu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přípravě zadávacích dokumentací využity eskalační procedury na programovou kancelář Digitální Česko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následně využity personální kapacity kompetenčních center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závislosti na potřebných odbornostech.</w:t>
            </w:r>
          </w:p>
          <w:p w14:paraId="7B870099" w14:textId="123E089F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Nedostatečně detailní vypracování technických specifikací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zadávacích dokumentací; identifikace hodnotících kritérií u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analýzy</w:t>
            </w:r>
          </w:p>
          <w:p w14:paraId="052EF714" w14:textId="7D6841A5" w:rsidR="00C42CDB" w:rsidRPr="00535CE0" w:rsidRDefault="00C42CDB" w:rsidP="003466D7">
            <w:pPr>
              <w:pStyle w:val="K-TextInfo"/>
              <w:numPr>
                <w:ilvl w:val="0"/>
                <w:numId w:val="22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Příprava detailní zadávací dokumentace na široké multioborové základně, příp. i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 využitím externích specialistů.</w:t>
            </w:r>
          </w:p>
          <w:p w14:paraId="75C979BA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Potenciální nutnost úpravy legislativy</w:t>
            </w:r>
          </w:p>
          <w:p w14:paraId="4D4FCF01" w14:textId="7B82E662" w:rsidR="00C42CDB" w:rsidRPr="00535CE0" w:rsidRDefault="00C42CDB" w:rsidP="003466D7">
            <w:pPr>
              <w:pStyle w:val="K-TextInfo"/>
              <w:numPr>
                <w:ilvl w:val="0"/>
                <w:numId w:val="22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Provedení interní legislativní analýzy jako jednoho z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prvních kroků realizace projektu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na jejím základě provést případné úpravy </w:t>
            </w:r>
            <w:proofErr w:type="spellStart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scope</w:t>
            </w:r>
            <w:proofErr w:type="spellEnd"/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projektu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jeho harmonogramu.</w:t>
            </w:r>
          </w:p>
          <w:p w14:paraId="09C52BB7" w14:textId="45F44E96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Zajištění bezpečnosti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ochrany osobních údajů</w:t>
            </w:r>
          </w:p>
          <w:p w14:paraId="6C2AB07E" w14:textId="457180A4" w:rsidR="00C42CDB" w:rsidRPr="00535CE0" w:rsidRDefault="00C42CDB" w:rsidP="003466D7">
            <w:pPr>
              <w:pStyle w:val="K-TextInfo"/>
              <w:numPr>
                <w:ilvl w:val="0"/>
                <w:numId w:val="22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lastRenderedPageBreak/>
              <w:t>Již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rámci návrhu budou do projektu zapojeni specialisté na kybernetickou bezpečnost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ochranu osobních údajů,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případě nedostatečných interních kapacit pak s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využitím kompetenčních center.</w:t>
            </w:r>
          </w:p>
          <w:p w14:paraId="3CC1C7A3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Nekvalitní architektonické návrhy, které si vyžádají opakované projednávání</w:t>
            </w:r>
          </w:p>
          <w:p w14:paraId="71148769" w14:textId="5752F59C" w:rsidR="00C42CDB" w:rsidRPr="00535CE0" w:rsidRDefault="00C42CDB" w:rsidP="003466D7">
            <w:pPr>
              <w:pStyle w:val="K-TextInfo"/>
              <w:numPr>
                <w:ilvl w:val="0"/>
                <w:numId w:val="22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Pro eliminaci rizika budou využívány konzultace architektonických návrhů s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příslušnými pracovníky kompetenčních center. </w:t>
            </w:r>
          </w:p>
          <w:p w14:paraId="3B9BC71F" w14:textId="75F97371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Posun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realizaci zadávacích řízení vč. rozhodování ÚOHS. </w:t>
            </w:r>
          </w:p>
          <w:p w14:paraId="6232D364" w14:textId="77777777" w:rsidR="00C42CDB" w:rsidRPr="00535CE0" w:rsidRDefault="00C42CDB" w:rsidP="003466D7">
            <w:pPr>
              <w:pStyle w:val="K-TextInfo"/>
              <w:numPr>
                <w:ilvl w:val="0"/>
                <w:numId w:val="22"/>
              </w:numPr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Při zachování výše uvedených principů je riziko je nutné akceptovat </w:t>
            </w:r>
          </w:p>
          <w:p w14:paraId="52E48914" w14:textId="26F62740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implementaci jednotlivých systémů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služeb</w:t>
            </w:r>
          </w:p>
          <w:p w14:paraId="53745740" w14:textId="0294B66A" w:rsidR="00C42CDB" w:rsidRPr="00596825" w:rsidRDefault="00C42CDB" w:rsidP="00596825">
            <w:pPr>
              <w:pStyle w:val="K-TextInfo"/>
              <w:numPr>
                <w:ilvl w:val="0"/>
                <w:numId w:val="22"/>
              </w:numPr>
              <w:rPr>
                <w:rFonts w:asciiTheme="minorHAnsi" w:eastAsia="Calibri" w:hAnsiTheme="minorHAnsi" w:cstheme="minorHAnsi"/>
                <w:color w:val="2196FF" w:themeColor="accent2" w:themeTint="99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K eliminaci rizika slouží vícestupňový dohled nad realizací jednotlivých projektů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současně personální kapacity kompetenčních center, která budou moci poskytnout specialisty pro řešení situace.</w:t>
            </w:r>
          </w:p>
        </w:tc>
      </w:tr>
      <w:tr w:rsidR="00C42CDB" w:rsidRPr="00535CE0" w14:paraId="27108A01" w14:textId="77777777" w:rsidTr="00C42CDB">
        <w:tc>
          <w:tcPr>
            <w:tcW w:w="2405" w:type="dxa"/>
          </w:tcPr>
          <w:p w14:paraId="1C008F7A" w14:textId="08EE2A2C" w:rsidR="00C42CDB" w:rsidRPr="00535CE0" w:rsidRDefault="00C42CDB" w:rsidP="002F5C22">
            <w:pPr>
              <w:pStyle w:val="K-Text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Cílové skupiny populace a</w:t>
            </w:r>
            <w:r w:rsidR="00EE51EC" w:rsidRPr="00535CE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ekonomické subjekty</w:t>
            </w:r>
          </w:p>
        </w:tc>
        <w:tc>
          <w:tcPr>
            <w:tcW w:w="7223" w:type="dxa"/>
          </w:tcPr>
          <w:p w14:paraId="5C8CF7F0" w14:textId="7DF5C602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Zaměstnanci resortu justice, právní zástupci, notáři, soudci, státní zástupci, občané a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firmy.</w:t>
            </w:r>
          </w:p>
        </w:tc>
      </w:tr>
      <w:tr w:rsidR="00C42CDB" w:rsidRPr="00535CE0" w14:paraId="6B9DFA43" w14:textId="77777777" w:rsidTr="00C42CDB">
        <w:tc>
          <w:tcPr>
            <w:tcW w:w="2405" w:type="dxa"/>
          </w:tcPr>
          <w:p w14:paraId="408B1DB5" w14:textId="7A1D7D85" w:rsidR="00C42CDB" w:rsidRPr="00535CE0" w:rsidRDefault="00C42CDB" w:rsidP="002F5C22">
            <w:pPr>
              <w:pStyle w:val="K-Text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Souhrnné náklady realizace financované z</w:t>
            </w:r>
            <w:r w:rsidR="00EE51EC" w:rsidRPr="00535CE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RRF za celé období</w:t>
            </w:r>
          </w:p>
        </w:tc>
        <w:tc>
          <w:tcPr>
            <w:tcW w:w="7223" w:type="dxa"/>
          </w:tcPr>
          <w:p w14:paraId="33FF7E53" w14:textId="4E838406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Celkové náklady </w:t>
            </w:r>
            <w:r w:rsidR="00F91777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investice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hrazené z</w:t>
            </w:r>
            <w:r w:rsidR="00EE51EC"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RRF jsou </w:t>
            </w:r>
            <w:r w:rsidR="00E9585C">
              <w:rPr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>188</w:t>
            </w: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 xml:space="preserve"> mil. Kč.</w:t>
            </w:r>
          </w:p>
        </w:tc>
      </w:tr>
      <w:tr w:rsidR="00C42CDB" w:rsidRPr="00535CE0" w14:paraId="46A920C2" w14:textId="77777777" w:rsidTr="00C42CDB">
        <w:tc>
          <w:tcPr>
            <w:tcW w:w="2405" w:type="dxa"/>
          </w:tcPr>
          <w:p w14:paraId="2696BA74" w14:textId="77777777" w:rsidR="00C42CDB" w:rsidRPr="00535CE0" w:rsidRDefault="00C42CDB" w:rsidP="002F5C22">
            <w:pPr>
              <w:pStyle w:val="K-Text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7F7BAD02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Investice nezakládá veřejnou podporu.</w:t>
            </w:r>
          </w:p>
        </w:tc>
      </w:tr>
      <w:tr w:rsidR="00C42CDB" w:rsidRPr="00535CE0" w14:paraId="41421F0A" w14:textId="77777777" w:rsidTr="00C42CDB">
        <w:tc>
          <w:tcPr>
            <w:tcW w:w="2405" w:type="dxa"/>
          </w:tcPr>
          <w:p w14:paraId="615A9634" w14:textId="77777777" w:rsidR="00C42CDB" w:rsidRPr="00535CE0" w:rsidRDefault="00C42CDB" w:rsidP="002F5C22">
            <w:pPr>
              <w:pStyle w:val="K-Text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6B414006" w14:textId="77777777" w:rsidR="00C42CDB" w:rsidRPr="00535CE0" w:rsidRDefault="00C42CDB" w:rsidP="002F5C22">
            <w:pPr>
              <w:pStyle w:val="K-TextInfo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535CE0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36 měsíců; do 31. 12. 2023.</w:t>
            </w:r>
          </w:p>
        </w:tc>
      </w:tr>
    </w:tbl>
    <w:p w14:paraId="304A4189" w14:textId="75D30541" w:rsidR="00C42CDB" w:rsidRPr="00535CE0" w:rsidRDefault="00C42CDB" w:rsidP="00725693">
      <w:pPr>
        <w:pStyle w:val="K-1"/>
        <w:rPr>
          <w:sz w:val="20"/>
          <w:szCs w:val="20"/>
        </w:rPr>
      </w:pPr>
      <w:r w:rsidRPr="00535CE0">
        <w:rPr>
          <w:sz w:val="20"/>
          <w:szCs w:val="20"/>
        </w:rPr>
        <w:t>4. Strategická autonomie a</w:t>
      </w:r>
      <w:r w:rsidR="00EE51EC" w:rsidRPr="00535CE0">
        <w:rPr>
          <w:sz w:val="20"/>
          <w:szCs w:val="20"/>
        </w:rPr>
        <w:t> </w:t>
      </w:r>
      <w:r w:rsidRPr="00535CE0">
        <w:rPr>
          <w:sz w:val="20"/>
          <w:szCs w:val="20"/>
        </w:rPr>
        <w:t>bezpečnostní problematika</w:t>
      </w:r>
    </w:p>
    <w:p w14:paraId="2BC0F0C0" w14:textId="3BF20BA2" w:rsidR="00C42CDB" w:rsidRPr="00535CE0" w:rsidRDefault="00C42CDB" w:rsidP="00174CDE">
      <w:pPr>
        <w:rPr>
          <w:rFonts w:cstheme="minorHAnsi"/>
          <w:szCs w:val="20"/>
        </w:rPr>
      </w:pPr>
      <w:r w:rsidRPr="00535CE0">
        <w:rPr>
          <w:rFonts w:cstheme="minorHAnsi"/>
          <w:szCs w:val="20"/>
        </w:rPr>
        <w:t>Komponenta jako celek je zcela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souladu s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aktuálními opatřeními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trendy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oblasti kybernetické bezpečnosti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mnohé z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nich rozvíjí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implementuje. Pravidla pro strategickou autonomii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oblasti informačních systémů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digitálních služeb nejsou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současnosti jasně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 xml:space="preserve">závazně definována. Projekty využívající (příp. budou využívat) </w:t>
      </w:r>
      <w:proofErr w:type="spellStart"/>
      <w:r w:rsidRPr="00535CE0">
        <w:rPr>
          <w:rFonts w:cstheme="minorHAnsi"/>
          <w:szCs w:val="20"/>
        </w:rPr>
        <w:t>cloudové</w:t>
      </w:r>
      <w:proofErr w:type="spellEnd"/>
      <w:r w:rsidRPr="00535CE0">
        <w:rPr>
          <w:rFonts w:cstheme="minorHAnsi"/>
          <w:szCs w:val="20"/>
        </w:rPr>
        <w:t xml:space="preserve"> služby tak využívají výhradně </w:t>
      </w:r>
      <w:proofErr w:type="spellStart"/>
      <w:r w:rsidRPr="00535CE0">
        <w:rPr>
          <w:rFonts w:cstheme="minorHAnsi"/>
          <w:szCs w:val="20"/>
        </w:rPr>
        <w:t>cloudová</w:t>
      </w:r>
      <w:proofErr w:type="spellEnd"/>
      <w:r w:rsidRPr="00535CE0">
        <w:rPr>
          <w:rFonts w:cstheme="minorHAnsi"/>
          <w:szCs w:val="20"/>
        </w:rPr>
        <w:t xml:space="preserve"> centra provozovaná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rámci EU.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rámci této komponenty bude realizován i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 xml:space="preserve">projekt technologického rozšíření </w:t>
      </w:r>
      <w:proofErr w:type="spellStart"/>
      <w:r w:rsidRPr="00535CE0">
        <w:rPr>
          <w:rFonts w:cstheme="minorHAnsi"/>
          <w:szCs w:val="20"/>
        </w:rPr>
        <w:t>eGovernment</w:t>
      </w:r>
      <w:proofErr w:type="spellEnd"/>
      <w:r w:rsidRPr="00535CE0">
        <w:rPr>
          <w:rFonts w:cstheme="minorHAnsi"/>
          <w:szCs w:val="20"/>
        </w:rPr>
        <w:t xml:space="preserve"> </w:t>
      </w:r>
      <w:proofErr w:type="spellStart"/>
      <w:r w:rsidRPr="00535CE0">
        <w:rPr>
          <w:rFonts w:cstheme="minorHAnsi"/>
          <w:szCs w:val="20"/>
        </w:rPr>
        <w:t>Cloudu</w:t>
      </w:r>
      <w:proofErr w:type="spellEnd"/>
      <w:r w:rsidRPr="00535CE0">
        <w:rPr>
          <w:rFonts w:cstheme="minorHAnsi"/>
          <w:szCs w:val="20"/>
        </w:rPr>
        <w:t>. Do tohoto prostředí pak budou následně přeneseny klíčové informační systémy veřejné správy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souladu s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 xml:space="preserve">nově připravovanou národní </w:t>
      </w:r>
      <w:proofErr w:type="spellStart"/>
      <w:r w:rsidRPr="00535CE0">
        <w:rPr>
          <w:rFonts w:cstheme="minorHAnsi"/>
          <w:szCs w:val="20"/>
        </w:rPr>
        <w:t>cloudovou</w:t>
      </w:r>
      <w:proofErr w:type="spellEnd"/>
      <w:r w:rsidRPr="00535CE0">
        <w:rPr>
          <w:rFonts w:cstheme="minorHAnsi"/>
          <w:szCs w:val="20"/>
        </w:rPr>
        <w:t xml:space="preserve"> legislativou.</w:t>
      </w:r>
    </w:p>
    <w:p w14:paraId="7DD71B95" w14:textId="71966618" w:rsidR="00C42CDB" w:rsidRPr="00535CE0" w:rsidRDefault="00C42CDB" w:rsidP="00725693">
      <w:pPr>
        <w:pStyle w:val="K-1"/>
        <w:rPr>
          <w:sz w:val="20"/>
          <w:szCs w:val="20"/>
        </w:rPr>
      </w:pPr>
      <w:r w:rsidRPr="00535CE0">
        <w:rPr>
          <w:sz w:val="20"/>
          <w:szCs w:val="20"/>
        </w:rPr>
        <w:t>5. Přeshraniční a</w:t>
      </w:r>
      <w:r w:rsidR="00EE51EC" w:rsidRPr="00535CE0">
        <w:rPr>
          <w:sz w:val="20"/>
          <w:szCs w:val="20"/>
        </w:rPr>
        <w:t> </w:t>
      </w:r>
      <w:r w:rsidRPr="00535CE0">
        <w:rPr>
          <w:sz w:val="20"/>
          <w:szCs w:val="20"/>
        </w:rPr>
        <w:t xml:space="preserve">mezinárodní projekty </w:t>
      </w:r>
    </w:p>
    <w:p w14:paraId="404A1F23" w14:textId="428A37CE" w:rsidR="00C42CDB" w:rsidRPr="00535CE0" w:rsidRDefault="00C42CDB" w:rsidP="00174CDE">
      <w:pPr>
        <w:rPr>
          <w:rFonts w:cstheme="minorHAnsi"/>
          <w:szCs w:val="20"/>
        </w:rPr>
      </w:pPr>
      <w:r w:rsidRPr="00535CE0">
        <w:rPr>
          <w:rFonts w:cstheme="minorHAnsi"/>
          <w:szCs w:val="20"/>
        </w:rPr>
        <w:t>Investice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reformy ani jejich jednotlivé části nemají charakter přeshraniční spolupráce. Jednotlivé projekty pak vytvářejí prostředí pro realizaci projektů s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 xml:space="preserve">přeshraniční spoluprací (např. projekt Interoperabilita ve zdravotnictví). </w:t>
      </w:r>
    </w:p>
    <w:p w14:paraId="7226C19A" w14:textId="77777777" w:rsidR="00C42CDB" w:rsidRPr="00535CE0" w:rsidRDefault="00C42CDB" w:rsidP="00725693">
      <w:pPr>
        <w:pStyle w:val="K-1"/>
        <w:rPr>
          <w:rFonts w:eastAsia="Times New Roman"/>
          <w:sz w:val="20"/>
          <w:szCs w:val="20"/>
        </w:rPr>
      </w:pPr>
      <w:r w:rsidRPr="00535CE0">
        <w:rPr>
          <w:rFonts w:eastAsia="Times New Roman"/>
          <w:sz w:val="20"/>
          <w:szCs w:val="20"/>
        </w:rPr>
        <w:t>6. </w:t>
      </w:r>
      <w:proofErr w:type="gramStart"/>
      <w:r w:rsidRPr="00535CE0">
        <w:rPr>
          <w:rFonts w:eastAsia="Times New Roman"/>
          <w:sz w:val="20"/>
          <w:szCs w:val="20"/>
        </w:rPr>
        <w:t>Zelený</w:t>
      </w:r>
      <w:proofErr w:type="gramEnd"/>
      <w:r w:rsidRPr="00535CE0">
        <w:rPr>
          <w:rFonts w:eastAsia="Times New Roman"/>
          <w:sz w:val="20"/>
          <w:szCs w:val="20"/>
        </w:rPr>
        <w:t xml:space="preserve"> rozměr komponenty </w:t>
      </w:r>
    </w:p>
    <w:p w14:paraId="53DE32F2" w14:textId="3DB40CA1" w:rsidR="00C42CDB" w:rsidRPr="00535CE0" w:rsidRDefault="00C42CDB" w:rsidP="00174CDE">
      <w:pPr>
        <w:rPr>
          <w:rFonts w:cstheme="minorHAnsi"/>
          <w:szCs w:val="20"/>
        </w:rPr>
      </w:pPr>
      <w:r w:rsidRPr="00535CE0">
        <w:rPr>
          <w:rFonts w:cstheme="minorHAnsi"/>
          <w:szCs w:val="20"/>
        </w:rPr>
        <w:t>Veškeré reformy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investice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rámci komponenty je možné považovat z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 xml:space="preserve">pohledu zelené </w:t>
      </w:r>
      <w:proofErr w:type="spellStart"/>
      <w:r w:rsidRPr="00535CE0">
        <w:rPr>
          <w:rFonts w:cstheme="minorHAnsi"/>
          <w:szCs w:val="20"/>
        </w:rPr>
        <w:t>tranzice</w:t>
      </w:r>
      <w:proofErr w:type="spellEnd"/>
      <w:r w:rsidRPr="00535CE0">
        <w:rPr>
          <w:rFonts w:cstheme="minorHAnsi"/>
          <w:szCs w:val="20"/>
        </w:rPr>
        <w:t xml:space="preserve"> za neutrální. Nemají tedy měřitelný vliv na cíle zohledňování klimatických změn.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obecné rovině pak lze konstatovat, že svým zaměřením přispívají ke snižování emisí skleníkových plynů. Velká část reformy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investic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této komponentě vytváří prostředí pro tvorbu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realizaci služeb snižujících mobilitu obyvatelstva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souvislosti s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cestami na úřad. Navrhovaná opatření jsou tak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souladu s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požadavkem na zavádění nových technologií pro dosažení cílů zelené agendy. Dle stanovených vzorců ve formuláři však tyto reformy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investice naplňují zelené výzvy z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 xml:space="preserve">0 %.  </w:t>
      </w:r>
    </w:p>
    <w:p w14:paraId="0E554D73" w14:textId="6BD04C16" w:rsidR="00C42CDB" w:rsidRPr="00535CE0" w:rsidRDefault="00C42CDB" w:rsidP="00174CDE">
      <w:pPr>
        <w:rPr>
          <w:rFonts w:cstheme="minorHAnsi"/>
          <w:szCs w:val="20"/>
          <w:lang w:val="en-US"/>
        </w:rPr>
      </w:pPr>
      <w:r w:rsidRPr="00535CE0">
        <w:rPr>
          <w:rFonts w:cstheme="minorHAnsi"/>
          <w:szCs w:val="20"/>
        </w:rPr>
        <w:t>Dopad na zelený přechod</w:t>
      </w:r>
      <w:r w:rsidRPr="00535CE0">
        <w:rPr>
          <w:rFonts w:cstheme="minorHAnsi"/>
          <w:color w:val="000000"/>
          <w:szCs w:val="20"/>
          <w:shd w:val="clear" w:color="auto" w:fill="FFFFFF"/>
        </w:rPr>
        <w:t xml:space="preserve"> je popsán v</w:t>
      </w:r>
      <w:r w:rsidR="00EE51EC" w:rsidRPr="00535CE0">
        <w:rPr>
          <w:rFonts w:cstheme="minorHAnsi"/>
          <w:color w:val="000000"/>
          <w:szCs w:val="20"/>
          <w:shd w:val="clear" w:color="auto" w:fill="FFFFFF"/>
        </w:rPr>
        <w:t> </w:t>
      </w:r>
      <w:r w:rsidRPr="00535CE0">
        <w:rPr>
          <w:rFonts w:cstheme="minorHAnsi"/>
          <w:color w:val="000000"/>
          <w:szCs w:val="20"/>
          <w:shd w:val="clear" w:color="auto" w:fill="FFFFFF"/>
        </w:rPr>
        <w:t>tabulce v</w:t>
      </w:r>
      <w:r w:rsidR="00EE51EC" w:rsidRPr="00535CE0">
        <w:rPr>
          <w:rFonts w:cstheme="minorHAnsi"/>
          <w:color w:val="000000"/>
          <w:szCs w:val="20"/>
          <w:shd w:val="clear" w:color="auto" w:fill="FFFFFF"/>
        </w:rPr>
        <w:t> </w:t>
      </w:r>
      <w:r w:rsidRPr="00535CE0">
        <w:rPr>
          <w:rFonts w:cstheme="minorHAnsi"/>
          <w:color w:val="000000"/>
          <w:szCs w:val="20"/>
          <w:shd w:val="clear" w:color="auto" w:fill="FFFFFF"/>
        </w:rPr>
        <w:t>příloze.</w:t>
      </w:r>
    </w:p>
    <w:p w14:paraId="17A9D01A" w14:textId="77777777" w:rsidR="00C42CDB" w:rsidRPr="00535CE0" w:rsidRDefault="00C42CDB" w:rsidP="00725693">
      <w:pPr>
        <w:pStyle w:val="K-1"/>
        <w:rPr>
          <w:rFonts w:eastAsia="Times New Roman"/>
          <w:sz w:val="20"/>
          <w:szCs w:val="20"/>
        </w:rPr>
      </w:pPr>
      <w:r w:rsidRPr="00535CE0">
        <w:rPr>
          <w:rFonts w:eastAsia="Times New Roman"/>
          <w:sz w:val="20"/>
          <w:szCs w:val="20"/>
        </w:rPr>
        <w:t xml:space="preserve">7. Digitální rozměr komponenty </w:t>
      </w:r>
    </w:p>
    <w:p w14:paraId="68A139DA" w14:textId="70AC143F" w:rsidR="00C42CDB" w:rsidRPr="00535CE0" w:rsidRDefault="00C42CDB" w:rsidP="00174CDE">
      <w:pPr>
        <w:rPr>
          <w:rFonts w:cstheme="minorHAnsi"/>
          <w:szCs w:val="20"/>
        </w:rPr>
      </w:pPr>
      <w:r w:rsidRPr="00535CE0">
        <w:rPr>
          <w:rFonts w:cstheme="minorHAnsi"/>
          <w:szCs w:val="20"/>
        </w:rPr>
        <w:t xml:space="preserve">Komponenta je zcela zaměřena na digitální </w:t>
      </w:r>
      <w:proofErr w:type="spellStart"/>
      <w:r w:rsidRPr="00535CE0">
        <w:rPr>
          <w:rFonts w:cstheme="minorHAnsi"/>
          <w:szCs w:val="20"/>
        </w:rPr>
        <w:t>tranzici</w:t>
      </w:r>
      <w:proofErr w:type="spellEnd"/>
      <w:r w:rsidRPr="00535CE0">
        <w:rPr>
          <w:rFonts w:cstheme="minorHAnsi"/>
          <w:szCs w:val="20"/>
        </w:rPr>
        <w:t xml:space="preserve"> veřejného sektoru, především pak na vytváření předpokladů pro digitální </w:t>
      </w:r>
      <w:proofErr w:type="spellStart"/>
      <w:r w:rsidRPr="00535CE0">
        <w:rPr>
          <w:rFonts w:cstheme="minorHAnsi"/>
          <w:szCs w:val="20"/>
        </w:rPr>
        <w:t>tranzici</w:t>
      </w:r>
      <w:proofErr w:type="spellEnd"/>
      <w:r w:rsidRPr="00535CE0">
        <w:rPr>
          <w:rFonts w:cstheme="minorHAnsi"/>
          <w:szCs w:val="20"/>
        </w:rPr>
        <w:t>. Cíle jednotlivých reforem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investic nejsou ve své podstatě přímo měřitelné prostřednictvím DESI, ale vytvářením prostředí pro poskytování služeb občanům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firmám, které umožňuje jednoduchou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uživatelsky přívětivou komunikaci s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veřejnými orgány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institucemi. Tímto postupem pak reformy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investice této komponenty výrazně posilují odolnost státní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veřejné správy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celkově urychlují proces odbavení úřední záležitosti, tudíž přispívají k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 xml:space="preserve">vyšší ekonomické </w:t>
      </w:r>
      <w:r w:rsidRPr="00535CE0">
        <w:rPr>
          <w:rFonts w:cstheme="minorHAnsi"/>
          <w:szCs w:val="20"/>
        </w:rPr>
        <w:lastRenderedPageBreak/>
        <w:t>efektivitě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snižování administrativních nákladů jak na straně veřejné správy, tak u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cílových skupin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podobě široké občanské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podnikatelské veřejnosti.</w:t>
      </w:r>
    </w:p>
    <w:p w14:paraId="0C355A2F" w14:textId="1F95B177" w:rsidR="00C42CDB" w:rsidRPr="00535CE0" w:rsidRDefault="00C42CDB" w:rsidP="00174CDE">
      <w:pPr>
        <w:rPr>
          <w:rFonts w:cstheme="minorHAnsi"/>
          <w:szCs w:val="20"/>
        </w:rPr>
      </w:pPr>
      <w:r w:rsidRPr="00535CE0">
        <w:rPr>
          <w:rFonts w:cstheme="minorHAnsi"/>
          <w:szCs w:val="20"/>
        </w:rPr>
        <w:t>Komponenta naplňuje Digitální agendu, výrazně zlepšuje podmínky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 xml:space="preserve">předpoklady pro rozvoj </w:t>
      </w:r>
      <w:proofErr w:type="spellStart"/>
      <w:r w:rsidRPr="00535CE0">
        <w:rPr>
          <w:rFonts w:cstheme="minorHAnsi"/>
          <w:szCs w:val="20"/>
        </w:rPr>
        <w:t>eGovernmentu</w:t>
      </w:r>
      <w:proofErr w:type="spellEnd"/>
      <w:r w:rsidRPr="00535CE0">
        <w:rPr>
          <w:rFonts w:cstheme="minorHAnsi"/>
          <w:szCs w:val="20"/>
        </w:rPr>
        <w:t xml:space="preserve">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v jednotlivých částech pak přímo přispívá k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jeho rozvoji. Její obsah je zcela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souladu s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programem Digitální Česko jako základního kamene národního digitálního plánu. Jednotlivé reformy jsou tematickým souhrnem vybraných digitálních záměrů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projektů. Investice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reformy popsané v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jednotlivých přílohách jsou pak, s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ohledem na parametry RRF, projekty programu Digitální Česko, jejichž realizaci akcelerovala možnost je financovat z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prostředků Národního plánu obnovy.</w:t>
      </w:r>
    </w:p>
    <w:p w14:paraId="75D16575" w14:textId="601BED55" w:rsidR="00C42CDB" w:rsidRPr="00535CE0" w:rsidRDefault="00C42CDB" w:rsidP="00174CDE">
      <w:pPr>
        <w:rPr>
          <w:rFonts w:cstheme="minorHAnsi"/>
          <w:szCs w:val="20"/>
          <w:lang w:val="en-US"/>
        </w:rPr>
      </w:pPr>
      <w:r w:rsidRPr="00535CE0">
        <w:rPr>
          <w:rFonts w:cstheme="minorHAnsi"/>
          <w:szCs w:val="20"/>
        </w:rPr>
        <w:t>Dopad na digitální přechod</w:t>
      </w:r>
      <w:r w:rsidRPr="00535CE0">
        <w:rPr>
          <w:rFonts w:cstheme="minorHAnsi"/>
          <w:color w:val="000000"/>
          <w:szCs w:val="20"/>
          <w:shd w:val="clear" w:color="auto" w:fill="FFFFFF"/>
        </w:rPr>
        <w:t xml:space="preserve"> je popsán v</w:t>
      </w:r>
      <w:r w:rsidR="00EE51EC" w:rsidRPr="00535CE0">
        <w:rPr>
          <w:rFonts w:cstheme="minorHAnsi"/>
          <w:color w:val="000000"/>
          <w:szCs w:val="20"/>
          <w:shd w:val="clear" w:color="auto" w:fill="FFFFFF"/>
        </w:rPr>
        <w:t> </w:t>
      </w:r>
      <w:r w:rsidRPr="00535CE0">
        <w:rPr>
          <w:rFonts w:cstheme="minorHAnsi"/>
          <w:color w:val="000000"/>
          <w:szCs w:val="20"/>
          <w:shd w:val="clear" w:color="auto" w:fill="FFFFFF"/>
        </w:rPr>
        <w:t>tabulce v</w:t>
      </w:r>
      <w:r w:rsidR="00EE51EC" w:rsidRPr="00535CE0">
        <w:rPr>
          <w:rFonts w:cstheme="minorHAnsi"/>
          <w:color w:val="000000"/>
          <w:szCs w:val="20"/>
          <w:shd w:val="clear" w:color="auto" w:fill="FFFFFF"/>
        </w:rPr>
        <w:t> </w:t>
      </w:r>
      <w:r w:rsidRPr="00535CE0">
        <w:rPr>
          <w:rFonts w:cstheme="minorHAnsi"/>
          <w:color w:val="000000"/>
          <w:szCs w:val="20"/>
          <w:shd w:val="clear" w:color="auto" w:fill="FFFFFF"/>
        </w:rPr>
        <w:t>příloze.</w:t>
      </w:r>
    </w:p>
    <w:p w14:paraId="70DBCCE9" w14:textId="77777777" w:rsidR="00C42CDB" w:rsidRPr="00535CE0" w:rsidRDefault="00C42CDB" w:rsidP="00725693">
      <w:pPr>
        <w:pStyle w:val="K-1"/>
        <w:rPr>
          <w:rFonts w:eastAsia="Times New Roman"/>
          <w:sz w:val="20"/>
          <w:szCs w:val="20"/>
        </w:rPr>
      </w:pPr>
      <w:r w:rsidRPr="00535CE0">
        <w:rPr>
          <w:rFonts w:eastAsia="Times New Roman"/>
          <w:sz w:val="20"/>
          <w:szCs w:val="20"/>
        </w:rPr>
        <w:t>8. Uplatnění zásady „význa</w:t>
      </w:r>
      <w:bookmarkStart w:id="2" w:name="_GoBack"/>
      <w:bookmarkEnd w:id="2"/>
      <w:r w:rsidRPr="00535CE0">
        <w:rPr>
          <w:rFonts w:eastAsia="Times New Roman"/>
          <w:sz w:val="20"/>
          <w:szCs w:val="20"/>
        </w:rPr>
        <w:t>mně nepoškozovat“</w:t>
      </w:r>
    </w:p>
    <w:p w14:paraId="3B50F829" w14:textId="0DA79A0F" w:rsidR="00C42CDB" w:rsidRPr="00535CE0" w:rsidRDefault="00C42CDB" w:rsidP="00174CDE">
      <w:pPr>
        <w:rPr>
          <w:rFonts w:cstheme="minorHAnsi"/>
          <w:szCs w:val="20"/>
        </w:rPr>
      </w:pPr>
      <w:r w:rsidRPr="00535CE0">
        <w:rPr>
          <w:rFonts w:cstheme="minorHAnsi"/>
          <w:szCs w:val="20"/>
        </w:rPr>
        <w:t>Veškeré reformy a</w:t>
      </w:r>
      <w:r w:rsidR="00EE51EC" w:rsidRPr="00535CE0">
        <w:rPr>
          <w:rFonts w:cstheme="minorHAnsi"/>
          <w:szCs w:val="20"/>
        </w:rPr>
        <w:t> </w:t>
      </w:r>
      <w:r w:rsidRPr="00535CE0">
        <w:rPr>
          <w:rFonts w:cstheme="minorHAnsi"/>
          <w:szCs w:val="20"/>
        </w:rPr>
        <w:t>investice</w:t>
      </w:r>
      <w:r w:rsidRPr="00535CE0" w:rsidDel="00995C13">
        <w:rPr>
          <w:rFonts w:cstheme="minorHAnsi"/>
          <w:szCs w:val="20"/>
        </w:rPr>
        <w:t xml:space="preserve"> </w:t>
      </w:r>
      <w:r w:rsidRPr="00535CE0">
        <w:rPr>
          <w:rFonts w:cstheme="minorHAnsi"/>
          <w:szCs w:val="20"/>
        </w:rPr>
        <w:t xml:space="preserve">vyhovují principu „do no </w:t>
      </w:r>
      <w:proofErr w:type="spellStart"/>
      <w:r w:rsidRPr="00535CE0">
        <w:rPr>
          <w:rFonts w:cstheme="minorHAnsi"/>
          <w:szCs w:val="20"/>
        </w:rPr>
        <w:t>significant</w:t>
      </w:r>
      <w:proofErr w:type="spellEnd"/>
      <w:r w:rsidRPr="00535CE0">
        <w:rPr>
          <w:rFonts w:cstheme="minorHAnsi"/>
          <w:szCs w:val="20"/>
        </w:rPr>
        <w:t xml:space="preserve"> </w:t>
      </w:r>
      <w:proofErr w:type="spellStart"/>
      <w:r w:rsidRPr="00535CE0">
        <w:rPr>
          <w:rFonts w:cstheme="minorHAnsi"/>
          <w:szCs w:val="20"/>
        </w:rPr>
        <w:t>harm</w:t>
      </w:r>
      <w:proofErr w:type="spellEnd"/>
      <w:r w:rsidRPr="00535CE0">
        <w:rPr>
          <w:rFonts w:cstheme="minorHAnsi"/>
          <w:szCs w:val="20"/>
        </w:rPr>
        <w:t xml:space="preserve">“. </w:t>
      </w:r>
    </w:p>
    <w:p w14:paraId="2581EF8E" w14:textId="6C756153" w:rsidR="00C42CDB" w:rsidRPr="00535CE0" w:rsidRDefault="00C42CDB" w:rsidP="00174CDE">
      <w:pPr>
        <w:rPr>
          <w:rFonts w:cstheme="minorHAnsi"/>
          <w:color w:val="2196FF" w:themeColor="text2" w:themeTint="99"/>
          <w:szCs w:val="20"/>
          <w:lang w:val="en-US"/>
        </w:rPr>
      </w:pPr>
      <w:r w:rsidRPr="00535CE0">
        <w:rPr>
          <w:rFonts w:cstheme="minorHAnsi"/>
          <w:color w:val="000000"/>
          <w:szCs w:val="20"/>
          <w:shd w:val="clear" w:color="auto" w:fill="FFFFFF"/>
        </w:rPr>
        <w:t>Princip DNSH je popsán v</w:t>
      </w:r>
      <w:r w:rsidR="00EE51EC" w:rsidRPr="00535CE0">
        <w:rPr>
          <w:rFonts w:cstheme="minorHAnsi"/>
          <w:color w:val="000000"/>
          <w:szCs w:val="20"/>
          <w:shd w:val="clear" w:color="auto" w:fill="FFFFFF"/>
        </w:rPr>
        <w:t> </w:t>
      </w:r>
      <w:r w:rsidRPr="00535CE0">
        <w:rPr>
          <w:rFonts w:cstheme="minorHAnsi"/>
          <w:color w:val="000000"/>
          <w:szCs w:val="20"/>
          <w:shd w:val="clear" w:color="auto" w:fill="FFFFFF"/>
        </w:rPr>
        <w:t>příloze.</w:t>
      </w:r>
    </w:p>
    <w:p w14:paraId="04CFE7FE" w14:textId="5C0F9332" w:rsidR="00C42CDB" w:rsidRPr="00535CE0" w:rsidRDefault="00C42CDB" w:rsidP="00725693">
      <w:pPr>
        <w:pStyle w:val="K-1"/>
        <w:rPr>
          <w:rFonts w:eastAsia="Times New Roman"/>
          <w:sz w:val="20"/>
          <w:szCs w:val="20"/>
        </w:rPr>
      </w:pPr>
      <w:bookmarkStart w:id="3" w:name="_Hlk67516678"/>
      <w:r w:rsidRPr="00535CE0">
        <w:rPr>
          <w:rFonts w:eastAsia="Times New Roman"/>
          <w:sz w:val="20"/>
          <w:szCs w:val="20"/>
        </w:rPr>
        <w:t>9. Milníky, cíle a</w:t>
      </w:r>
      <w:r w:rsidR="00EE51EC" w:rsidRPr="00535CE0">
        <w:rPr>
          <w:rFonts w:eastAsia="Times New Roman"/>
          <w:sz w:val="20"/>
          <w:szCs w:val="20"/>
        </w:rPr>
        <w:t> </w:t>
      </w:r>
      <w:r w:rsidRPr="00535CE0">
        <w:rPr>
          <w:rFonts w:eastAsia="Times New Roman"/>
          <w:sz w:val="20"/>
          <w:szCs w:val="20"/>
        </w:rPr>
        <w:t xml:space="preserve">harmonogram </w:t>
      </w:r>
    </w:p>
    <w:bookmarkEnd w:id="3"/>
    <w:p w14:paraId="213A459C" w14:textId="1D4F1F62" w:rsidR="00C42CDB" w:rsidRPr="00535CE0" w:rsidRDefault="00C42CDB" w:rsidP="00174CDE">
      <w:pPr>
        <w:rPr>
          <w:rFonts w:cstheme="minorHAnsi"/>
          <w:szCs w:val="20"/>
          <w:shd w:val="clear" w:color="auto" w:fill="FFFFFF"/>
        </w:rPr>
      </w:pPr>
      <w:r w:rsidRPr="00535CE0">
        <w:rPr>
          <w:rFonts w:cstheme="minorHAnsi"/>
          <w:szCs w:val="20"/>
          <w:shd w:val="clear" w:color="auto" w:fill="FFFFFF"/>
        </w:rPr>
        <w:t>Milníky, cíle a</w:t>
      </w:r>
      <w:r w:rsidR="00EE51EC" w:rsidRPr="00535CE0">
        <w:rPr>
          <w:rFonts w:cstheme="minorHAnsi"/>
          <w:szCs w:val="20"/>
          <w:shd w:val="clear" w:color="auto" w:fill="FFFFFF"/>
        </w:rPr>
        <w:t> </w:t>
      </w:r>
      <w:r w:rsidRPr="00535CE0">
        <w:rPr>
          <w:rFonts w:cstheme="minorHAnsi"/>
          <w:szCs w:val="20"/>
          <w:shd w:val="clear" w:color="auto" w:fill="FFFFFF"/>
        </w:rPr>
        <w:t>časová osa jsou popsány v</w:t>
      </w:r>
      <w:r w:rsidR="00EE51EC" w:rsidRPr="00535CE0">
        <w:rPr>
          <w:rFonts w:cstheme="minorHAnsi"/>
          <w:szCs w:val="20"/>
          <w:shd w:val="clear" w:color="auto" w:fill="FFFFFF"/>
        </w:rPr>
        <w:t> </w:t>
      </w:r>
      <w:r w:rsidRPr="00535CE0">
        <w:rPr>
          <w:rFonts w:cstheme="minorHAnsi"/>
          <w:szCs w:val="20"/>
          <w:shd w:val="clear" w:color="auto" w:fill="FFFFFF"/>
        </w:rPr>
        <w:t>tabulce v</w:t>
      </w:r>
      <w:r w:rsidR="00EE51EC" w:rsidRPr="00535CE0">
        <w:rPr>
          <w:rFonts w:cstheme="minorHAnsi"/>
          <w:szCs w:val="20"/>
          <w:shd w:val="clear" w:color="auto" w:fill="FFFFFF"/>
        </w:rPr>
        <w:t> </w:t>
      </w:r>
      <w:r w:rsidRPr="00535CE0">
        <w:rPr>
          <w:rFonts w:cstheme="minorHAnsi"/>
          <w:szCs w:val="20"/>
          <w:shd w:val="clear" w:color="auto" w:fill="FFFFFF"/>
        </w:rPr>
        <w:t>příloze.</w:t>
      </w:r>
    </w:p>
    <w:p w14:paraId="538D2812" w14:textId="741EB4E3" w:rsidR="00C42CDB" w:rsidRPr="00535CE0" w:rsidRDefault="00C42CDB" w:rsidP="00725693">
      <w:pPr>
        <w:pStyle w:val="K-1"/>
        <w:rPr>
          <w:rFonts w:eastAsia="Times New Roman"/>
          <w:sz w:val="20"/>
          <w:szCs w:val="20"/>
        </w:rPr>
      </w:pPr>
      <w:bookmarkStart w:id="4" w:name="_Hlk67516698"/>
      <w:r w:rsidRPr="00535CE0">
        <w:rPr>
          <w:rFonts w:eastAsia="Times New Roman"/>
          <w:sz w:val="20"/>
          <w:szCs w:val="20"/>
        </w:rPr>
        <w:t>10. Financování a</w:t>
      </w:r>
      <w:r w:rsidR="00EE51EC" w:rsidRPr="00535CE0">
        <w:rPr>
          <w:rFonts w:eastAsia="Times New Roman"/>
          <w:sz w:val="20"/>
          <w:szCs w:val="20"/>
        </w:rPr>
        <w:t> </w:t>
      </w:r>
      <w:proofErr w:type="spellStart"/>
      <w:r w:rsidRPr="00535CE0">
        <w:rPr>
          <w:rFonts w:eastAsia="Times New Roman"/>
          <w:sz w:val="20"/>
          <w:szCs w:val="20"/>
        </w:rPr>
        <w:t>costing</w:t>
      </w:r>
      <w:proofErr w:type="spellEnd"/>
      <w:r w:rsidRPr="00535CE0">
        <w:rPr>
          <w:rFonts w:eastAsia="Times New Roman"/>
          <w:sz w:val="20"/>
          <w:szCs w:val="20"/>
        </w:rPr>
        <w:t xml:space="preserve"> </w:t>
      </w:r>
    </w:p>
    <w:bookmarkEnd w:id="4"/>
    <w:p w14:paraId="69470F6E" w14:textId="6E8B2A33" w:rsidR="00C42CDB" w:rsidRPr="00535CE0" w:rsidRDefault="00C42CDB" w:rsidP="00174CDE">
      <w:pPr>
        <w:rPr>
          <w:rFonts w:cstheme="minorHAnsi"/>
          <w:szCs w:val="20"/>
        </w:rPr>
      </w:pPr>
      <w:r w:rsidRPr="00535CE0">
        <w:rPr>
          <w:rFonts w:cstheme="minorHAnsi"/>
          <w:szCs w:val="20"/>
          <w:shd w:val="clear" w:color="auto" w:fill="FFFFFF"/>
        </w:rPr>
        <w:t>Financování a</w:t>
      </w:r>
      <w:r w:rsidR="00EE51EC" w:rsidRPr="00535CE0">
        <w:rPr>
          <w:rFonts w:cstheme="minorHAnsi"/>
          <w:szCs w:val="20"/>
          <w:shd w:val="clear" w:color="auto" w:fill="FFFFFF"/>
        </w:rPr>
        <w:t> </w:t>
      </w:r>
      <w:r w:rsidRPr="00535CE0">
        <w:rPr>
          <w:rFonts w:cstheme="minorHAnsi"/>
          <w:szCs w:val="20"/>
          <w:shd w:val="clear" w:color="auto" w:fill="FFFFFF"/>
        </w:rPr>
        <w:t>náklady jsou popsány v</w:t>
      </w:r>
      <w:r w:rsidR="00EE51EC" w:rsidRPr="00535CE0">
        <w:rPr>
          <w:rFonts w:cstheme="minorHAnsi"/>
          <w:szCs w:val="20"/>
          <w:shd w:val="clear" w:color="auto" w:fill="FFFFFF"/>
        </w:rPr>
        <w:t> </w:t>
      </w:r>
      <w:r w:rsidRPr="00535CE0">
        <w:rPr>
          <w:rFonts w:cstheme="minorHAnsi"/>
          <w:szCs w:val="20"/>
          <w:shd w:val="clear" w:color="auto" w:fill="FFFFFF"/>
        </w:rPr>
        <w:t>tabulce v</w:t>
      </w:r>
      <w:r w:rsidR="00EE51EC" w:rsidRPr="00535CE0">
        <w:rPr>
          <w:rFonts w:cstheme="minorHAnsi"/>
          <w:szCs w:val="20"/>
          <w:shd w:val="clear" w:color="auto" w:fill="FFFFFF"/>
        </w:rPr>
        <w:t> </w:t>
      </w:r>
      <w:r w:rsidRPr="00535CE0">
        <w:rPr>
          <w:rFonts w:cstheme="minorHAnsi"/>
          <w:szCs w:val="20"/>
          <w:shd w:val="clear" w:color="auto" w:fill="FFFFFF"/>
        </w:rPr>
        <w:t>příloze.</w:t>
      </w:r>
    </w:p>
    <w:p w14:paraId="44DB8791" w14:textId="77777777" w:rsidR="00266EBF" w:rsidRPr="0060344B" w:rsidRDefault="00266EBF" w:rsidP="003466D7">
      <w:pPr>
        <w:rPr>
          <w:rFonts w:cstheme="minorHAnsi"/>
        </w:rPr>
      </w:pPr>
      <w:bookmarkStart w:id="5" w:name="_nj1ks6p3kwye"/>
      <w:bookmarkStart w:id="6" w:name="_30j0zll"/>
      <w:bookmarkStart w:id="7" w:name="_1fob9te" w:colFirst="0" w:colLast="0"/>
      <w:bookmarkStart w:id="8" w:name="_Toc68035740"/>
      <w:bookmarkStart w:id="9" w:name="_Toc68035916"/>
      <w:bookmarkStart w:id="10" w:name="_Toc68035741"/>
      <w:bookmarkStart w:id="11" w:name="_Toc68035917"/>
      <w:bookmarkStart w:id="12" w:name="_Toc68035746"/>
      <w:bookmarkStart w:id="13" w:name="_Toc68035922"/>
      <w:bookmarkStart w:id="14" w:name="_Toc68035762"/>
      <w:bookmarkStart w:id="15" w:name="_Toc68035938"/>
      <w:bookmarkStart w:id="16" w:name="_Toc68035763"/>
      <w:bookmarkStart w:id="17" w:name="_Toc68035939"/>
      <w:bookmarkStart w:id="18" w:name="_Toc68035764"/>
      <w:bookmarkStart w:id="19" w:name="_Toc68035940"/>
      <w:bookmarkStart w:id="20" w:name="_Toc68035765"/>
      <w:bookmarkStart w:id="21" w:name="_Toc68035941"/>
      <w:bookmarkStart w:id="22" w:name="_Toc68035766"/>
      <w:bookmarkStart w:id="23" w:name="_Toc68035942"/>
      <w:bookmarkStart w:id="24" w:name="_Toc68035767"/>
      <w:bookmarkStart w:id="25" w:name="_Toc68035943"/>
      <w:bookmarkStart w:id="26" w:name="_Toc68035768"/>
      <w:bookmarkStart w:id="27" w:name="_Toc68035944"/>
      <w:bookmarkStart w:id="28" w:name="_Toc68035769"/>
      <w:bookmarkStart w:id="29" w:name="_Toc68035945"/>
      <w:bookmarkStart w:id="30" w:name="_Toc68035770"/>
      <w:bookmarkStart w:id="31" w:name="_Toc68035946"/>
      <w:bookmarkStart w:id="32" w:name="_Toc68035771"/>
      <w:bookmarkStart w:id="33" w:name="_Toc68035947"/>
      <w:bookmarkStart w:id="34" w:name="_Toc68035773"/>
      <w:bookmarkStart w:id="35" w:name="_Toc68035949"/>
      <w:bookmarkStart w:id="36" w:name="_Toc68035774"/>
      <w:bookmarkStart w:id="37" w:name="_Toc68035950"/>
      <w:bookmarkStart w:id="38" w:name="_Toc68035778"/>
      <w:bookmarkStart w:id="39" w:name="_Toc68035954"/>
      <w:bookmarkStart w:id="40" w:name="_Toc68035779"/>
      <w:bookmarkStart w:id="41" w:name="_Toc68035955"/>
      <w:bookmarkStart w:id="42" w:name="_Toc68035780"/>
      <w:bookmarkStart w:id="43" w:name="_Toc68035956"/>
      <w:bookmarkStart w:id="44" w:name="_Toc68035781"/>
      <w:bookmarkStart w:id="45" w:name="_Toc68035957"/>
      <w:bookmarkStart w:id="46" w:name="_Toc68035782"/>
      <w:bookmarkStart w:id="47" w:name="_Toc68035958"/>
      <w:bookmarkStart w:id="48" w:name="_Toc68035783"/>
      <w:bookmarkStart w:id="49" w:name="_Toc68035959"/>
      <w:bookmarkStart w:id="50" w:name="_Toc68035784"/>
      <w:bookmarkStart w:id="51" w:name="_Toc68035960"/>
      <w:bookmarkStart w:id="52" w:name="_Toc68035785"/>
      <w:bookmarkStart w:id="53" w:name="_Toc68035961"/>
      <w:bookmarkStart w:id="54" w:name="_Toc68035786"/>
      <w:bookmarkStart w:id="55" w:name="_Toc68035962"/>
      <w:bookmarkStart w:id="56" w:name="_Toc68035787"/>
      <w:bookmarkStart w:id="57" w:name="_Toc68035963"/>
      <w:bookmarkStart w:id="58" w:name="_Toc68035788"/>
      <w:bookmarkStart w:id="59" w:name="_Toc68035964"/>
      <w:bookmarkStart w:id="60" w:name="_Toc68035789"/>
      <w:bookmarkStart w:id="61" w:name="_Toc68035965"/>
      <w:bookmarkStart w:id="62" w:name="_Toc68035790"/>
      <w:bookmarkStart w:id="63" w:name="_Toc68035966"/>
      <w:bookmarkStart w:id="64" w:name="_Toc68035791"/>
      <w:bookmarkStart w:id="65" w:name="_Toc68035967"/>
      <w:bookmarkStart w:id="66" w:name="_Toc68035792"/>
      <w:bookmarkStart w:id="67" w:name="_Toc68035968"/>
      <w:bookmarkStart w:id="68" w:name="_Toc68035793"/>
      <w:bookmarkStart w:id="69" w:name="_Toc68035969"/>
      <w:bookmarkStart w:id="70" w:name="_Toc68035794"/>
      <w:bookmarkStart w:id="71" w:name="_Toc68035970"/>
      <w:bookmarkStart w:id="72" w:name="_Toc68035795"/>
      <w:bookmarkStart w:id="73" w:name="_Toc68035971"/>
      <w:bookmarkStart w:id="74" w:name="_Toc68035796"/>
      <w:bookmarkStart w:id="75" w:name="_Toc68035972"/>
      <w:bookmarkStart w:id="76" w:name="_Toc68035797"/>
      <w:bookmarkStart w:id="77" w:name="_Toc68035973"/>
      <w:bookmarkStart w:id="78" w:name="_Toc68035798"/>
      <w:bookmarkStart w:id="79" w:name="_Toc68035974"/>
      <w:bookmarkStart w:id="80" w:name="_Toc68035799"/>
      <w:bookmarkStart w:id="81" w:name="_Toc68035975"/>
      <w:bookmarkStart w:id="82" w:name="_Toc68035800"/>
      <w:bookmarkStart w:id="83" w:name="_Toc68035976"/>
      <w:bookmarkStart w:id="84" w:name="_Toc68035801"/>
      <w:bookmarkStart w:id="85" w:name="_Toc68035977"/>
      <w:bookmarkStart w:id="86" w:name="_Toc68035802"/>
      <w:bookmarkStart w:id="87" w:name="_Toc68035978"/>
      <w:bookmarkStart w:id="88" w:name="_Toc68035803"/>
      <w:bookmarkStart w:id="89" w:name="_Toc68035979"/>
      <w:bookmarkStart w:id="90" w:name="_Toc68035804"/>
      <w:bookmarkStart w:id="91" w:name="_Toc68035980"/>
      <w:bookmarkStart w:id="92" w:name="_Toc68035805"/>
      <w:bookmarkStart w:id="93" w:name="_Toc68035981"/>
      <w:bookmarkStart w:id="94" w:name="_Toc68035806"/>
      <w:bookmarkStart w:id="95" w:name="_Toc68035982"/>
      <w:bookmarkStart w:id="96" w:name="_Toc68035807"/>
      <w:bookmarkStart w:id="97" w:name="_Toc68035983"/>
      <w:bookmarkStart w:id="98" w:name="_Toc68035808"/>
      <w:bookmarkStart w:id="99" w:name="_Toc68035984"/>
      <w:bookmarkStart w:id="100" w:name="_Toc68035809"/>
      <w:bookmarkStart w:id="101" w:name="_Toc68035985"/>
      <w:bookmarkStart w:id="102" w:name="_Toc68035810"/>
      <w:bookmarkStart w:id="103" w:name="_Toc68035986"/>
      <w:bookmarkStart w:id="104" w:name="_Toc68035811"/>
      <w:bookmarkStart w:id="105" w:name="_Toc68035987"/>
      <w:bookmarkStart w:id="106" w:name="_Toc68035812"/>
      <w:bookmarkStart w:id="107" w:name="_Toc68035988"/>
      <w:bookmarkStart w:id="108" w:name="_Toc68035813"/>
      <w:bookmarkStart w:id="109" w:name="_Toc68035989"/>
      <w:bookmarkStart w:id="110" w:name="_Toc68035814"/>
      <w:bookmarkStart w:id="111" w:name="_Toc68035990"/>
      <w:bookmarkStart w:id="112" w:name="_Toc68035815"/>
      <w:bookmarkStart w:id="113" w:name="_Toc68035991"/>
      <w:bookmarkStart w:id="114" w:name="_Toc68035816"/>
      <w:bookmarkStart w:id="115" w:name="_Toc68035992"/>
      <w:bookmarkStart w:id="116" w:name="_Toc68035817"/>
      <w:bookmarkStart w:id="117" w:name="_Toc68035993"/>
      <w:bookmarkStart w:id="118" w:name="_Toc68035818"/>
      <w:bookmarkStart w:id="119" w:name="_Toc68035994"/>
      <w:bookmarkStart w:id="120" w:name="_Toc68035819"/>
      <w:bookmarkStart w:id="121" w:name="_Toc68035995"/>
      <w:bookmarkStart w:id="122" w:name="_Toc66646721"/>
      <w:bookmarkStart w:id="123" w:name="_Toc66647251"/>
      <w:bookmarkStart w:id="124" w:name="_Toc66647613"/>
      <w:bookmarkStart w:id="125" w:name="_Toc66647739"/>
      <w:bookmarkStart w:id="126" w:name="_Toc66647788"/>
      <w:bookmarkStart w:id="127" w:name="_Toc66860970"/>
      <w:bookmarkStart w:id="128" w:name="_Toc66862914"/>
      <w:bookmarkStart w:id="129" w:name="_Toc66900245"/>
      <w:bookmarkStart w:id="130" w:name="_Toc66901827"/>
      <w:bookmarkStart w:id="131" w:name="_Toc67437533"/>
      <w:bookmarkStart w:id="132" w:name="_Toc67437571"/>
      <w:bookmarkStart w:id="133" w:name="_Toc67457119"/>
      <w:bookmarkStart w:id="134" w:name="_Toc67464643"/>
      <w:bookmarkStart w:id="135" w:name="_Toc67474540"/>
      <w:bookmarkStart w:id="136" w:name="_Toc68035820"/>
      <w:bookmarkStart w:id="137" w:name="_Toc68035996"/>
      <w:bookmarkStart w:id="138" w:name="_Toc66647740"/>
      <w:bookmarkStart w:id="139" w:name="_Toc66647789"/>
      <w:bookmarkStart w:id="140" w:name="_Toc66860971"/>
      <w:bookmarkStart w:id="141" w:name="_Toc66862915"/>
      <w:bookmarkStart w:id="142" w:name="_Toc66900246"/>
      <w:bookmarkStart w:id="143" w:name="_Toc66901828"/>
      <w:bookmarkStart w:id="144" w:name="_Toc67437534"/>
      <w:bookmarkStart w:id="145" w:name="_Toc67437572"/>
      <w:bookmarkStart w:id="146" w:name="_Toc67457120"/>
      <w:bookmarkStart w:id="147" w:name="_Toc67464644"/>
      <w:bookmarkStart w:id="148" w:name="_Toc67474541"/>
      <w:bookmarkStart w:id="149" w:name="_Toc68035821"/>
      <w:bookmarkStart w:id="150" w:name="_Toc68035997"/>
      <w:bookmarkStart w:id="151" w:name="_Toc68035822"/>
      <w:bookmarkStart w:id="152" w:name="_Toc68035998"/>
      <w:bookmarkStart w:id="153" w:name="_Toc68035823"/>
      <w:bookmarkStart w:id="154" w:name="_Toc68035999"/>
      <w:bookmarkStart w:id="155" w:name="_Toc68035824"/>
      <w:bookmarkStart w:id="156" w:name="_Toc68036000"/>
      <w:bookmarkStart w:id="157" w:name="_Toc68035825"/>
      <w:bookmarkStart w:id="158" w:name="_Toc68036001"/>
      <w:bookmarkStart w:id="159" w:name="_Toc68035826"/>
      <w:bookmarkStart w:id="160" w:name="_Toc68036002"/>
      <w:bookmarkStart w:id="161" w:name="_Toc68035827"/>
      <w:bookmarkStart w:id="162" w:name="_Toc68036003"/>
      <w:bookmarkStart w:id="163" w:name="_Toc68035828"/>
      <w:bookmarkStart w:id="164" w:name="_Toc68036004"/>
      <w:bookmarkStart w:id="165" w:name="_Toc68035829"/>
      <w:bookmarkStart w:id="166" w:name="_Toc68036005"/>
      <w:bookmarkStart w:id="167" w:name="_Toc68035830"/>
      <w:bookmarkStart w:id="168" w:name="_Toc68036006"/>
      <w:bookmarkStart w:id="169" w:name="_Toc68035831"/>
      <w:bookmarkStart w:id="170" w:name="_Toc68036007"/>
      <w:bookmarkStart w:id="171" w:name="_Toc68035832"/>
      <w:bookmarkStart w:id="172" w:name="_Toc68036008"/>
      <w:bookmarkStart w:id="173" w:name="_Toc68035833"/>
      <w:bookmarkStart w:id="174" w:name="_Toc68036009"/>
      <w:bookmarkStart w:id="175" w:name="_Toc68035834"/>
      <w:bookmarkStart w:id="176" w:name="_Toc68036010"/>
      <w:bookmarkStart w:id="177" w:name="_Toc68035835"/>
      <w:bookmarkStart w:id="178" w:name="_Toc68036011"/>
      <w:bookmarkStart w:id="179" w:name="_Toc68035836"/>
      <w:bookmarkStart w:id="180" w:name="_Toc68036012"/>
      <w:bookmarkStart w:id="181" w:name="_Toc68035837"/>
      <w:bookmarkStart w:id="182" w:name="_Toc68036013"/>
      <w:bookmarkStart w:id="183" w:name="_Toc68035838"/>
      <w:bookmarkStart w:id="184" w:name="_Toc68036014"/>
      <w:bookmarkStart w:id="185" w:name="_Toc68035839"/>
      <w:bookmarkStart w:id="186" w:name="_Toc68036015"/>
      <w:bookmarkStart w:id="187" w:name="_Toc68035841"/>
      <w:bookmarkStart w:id="188" w:name="_Toc68036017"/>
      <w:bookmarkStart w:id="189" w:name="_Toc68035842"/>
      <w:bookmarkStart w:id="190" w:name="_Toc68036018"/>
      <w:bookmarkStart w:id="191" w:name="_Toc68035843"/>
      <w:bookmarkStart w:id="192" w:name="_Toc68036019"/>
      <w:bookmarkStart w:id="193" w:name="_Toc66647256"/>
      <w:bookmarkStart w:id="194" w:name="_Toc66647618"/>
      <w:bookmarkStart w:id="195" w:name="_Toc66647745"/>
      <w:bookmarkStart w:id="196" w:name="_Toc66647794"/>
      <w:bookmarkStart w:id="197" w:name="_Toc66860976"/>
      <w:bookmarkStart w:id="198" w:name="_Toc66862920"/>
      <w:bookmarkStart w:id="199" w:name="_Toc66900251"/>
      <w:bookmarkStart w:id="200" w:name="_Toc66901833"/>
      <w:bookmarkStart w:id="201" w:name="_Toc67437539"/>
      <w:bookmarkStart w:id="202" w:name="_Toc67437577"/>
      <w:bookmarkStart w:id="203" w:name="_Toc67457125"/>
      <w:bookmarkStart w:id="204" w:name="_Toc67464646"/>
      <w:bookmarkStart w:id="205" w:name="_Toc68035844"/>
      <w:bookmarkStart w:id="206" w:name="_Toc68036020"/>
      <w:bookmarkStart w:id="207" w:name="_Toc66647257"/>
      <w:bookmarkStart w:id="208" w:name="_Toc66647619"/>
      <w:bookmarkStart w:id="209" w:name="_Toc66647746"/>
      <w:bookmarkStart w:id="210" w:name="_Toc66647795"/>
      <w:bookmarkStart w:id="211" w:name="_Toc66860977"/>
      <w:bookmarkStart w:id="212" w:name="_Toc66862921"/>
      <w:bookmarkStart w:id="213" w:name="_Toc66900252"/>
      <w:bookmarkStart w:id="214" w:name="_Toc66901834"/>
      <w:bookmarkStart w:id="215" w:name="_Toc67437540"/>
      <w:bookmarkStart w:id="216" w:name="_Toc67437578"/>
      <w:bookmarkStart w:id="217" w:name="_Toc67457126"/>
      <w:bookmarkStart w:id="218" w:name="_Toc67464647"/>
      <w:bookmarkStart w:id="219" w:name="_Toc68035845"/>
      <w:bookmarkStart w:id="220" w:name="_Toc68036021"/>
      <w:bookmarkStart w:id="221" w:name="_Toc68035846"/>
      <w:bookmarkStart w:id="222" w:name="_Toc68036022"/>
      <w:bookmarkStart w:id="223" w:name="_Toc68035847"/>
      <w:bookmarkStart w:id="224" w:name="_Toc68036023"/>
      <w:bookmarkStart w:id="225" w:name="_Toc68035848"/>
      <w:bookmarkStart w:id="226" w:name="_Toc68036024"/>
      <w:bookmarkStart w:id="227" w:name="_Toc68035849"/>
      <w:bookmarkStart w:id="228" w:name="_Toc68036025"/>
      <w:bookmarkStart w:id="229" w:name="_Toc68035850"/>
      <w:bookmarkStart w:id="230" w:name="_Toc68036026"/>
      <w:bookmarkStart w:id="231" w:name="_Toc68035851"/>
      <w:bookmarkStart w:id="232" w:name="_Toc68036027"/>
      <w:bookmarkStart w:id="233" w:name="_Toc68035852"/>
      <w:bookmarkStart w:id="234" w:name="_Toc68036028"/>
      <w:bookmarkStart w:id="235" w:name="_Toc68035853"/>
      <w:bookmarkStart w:id="236" w:name="_Toc68036029"/>
      <w:bookmarkStart w:id="237" w:name="_Toc68035854"/>
      <w:bookmarkStart w:id="238" w:name="_Toc68036030"/>
      <w:bookmarkStart w:id="239" w:name="_Toc68035855"/>
      <w:bookmarkStart w:id="240" w:name="_Toc68036031"/>
      <w:bookmarkStart w:id="241" w:name="_Toc68035856"/>
      <w:bookmarkStart w:id="242" w:name="_Toc68036032"/>
      <w:bookmarkStart w:id="243" w:name="_Toc68035857"/>
      <w:bookmarkStart w:id="244" w:name="_Toc68036033"/>
      <w:bookmarkStart w:id="245" w:name="_Toc68035858"/>
      <w:bookmarkStart w:id="246" w:name="_Toc68036034"/>
      <w:bookmarkStart w:id="247" w:name="_Toc68035859"/>
      <w:bookmarkStart w:id="248" w:name="_Toc68036035"/>
      <w:bookmarkStart w:id="249" w:name="_Toc68035860"/>
      <w:bookmarkStart w:id="250" w:name="_Toc68036036"/>
      <w:bookmarkStart w:id="251" w:name="_Toc68035861"/>
      <w:bookmarkStart w:id="252" w:name="_Toc68036037"/>
      <w:bookmarkStart w:id="253" w:name="_Toc68035862"/>
      <w:bookmarkStart w:id="254" w:name="_Toc68036038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</w:p>
    <w:p w14:paraId="04F0F8BD" w14:textId="77777777" w:rsidR="003466D7" w:rsidRPr="0060344B" w:rsidRDefault="003466D7" w:rsidP="003466D7">
      <w:pPr>
        <w:pStyle w:val="Nadpis2"/>
        <w:numPr>
          <w:ilvl w:val="0"/>
          <w:numId w:val="0"/>
        </w:numPr>
        <w:ind w:left="576"/>
        <w:rPr>
          <w:rFonts w:asciiTheme="minorHAnsi" w:hAnsiTheme="minorHAnsi" w:cstheme="minorHAnsi"/>
        </w:rPr>
      </w:pPr>
    </w:p>
    <w:p w14:paraId="48B23D11" w14:textId="77777777" w:rsidR="004A7F97" w:rsidRPr="0060344B" w:rsidRDefault="004A7F97" w:rsidP="00A566D7">
      <w:pPr>
        <w:spacing w:after="200" w:line="276" w:lineRule="auto"/>
        <w:jc w:val="right"/>
        <w:rPr>
          <w:rStyle w:val="normaltextrun"/>
          <w:rFonts w:eastAsiaTheme="majorEastAsia" w:cstheme="minorHAnsi"/>
          <w:b/>
          <w:sz w:val="28"/>
          <w:szCs w:val="26"/>
        </w:rPr>
      </w:pPr>
    </w:p>
    <w:sectPr w:rsidR="004A7F97" w:rsidRPr="0060344B" w:rsidSect="00E36E7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D1983" w14:textId="77777777" w:rsidR="00443196" w:rsidRDefault="00443196" w:rsidP="007F3563">
      <w:pPr>
        <w:spacing w:after="0"/>
      </w:pPr>
      <w:r>
        <w:separator/>
      </w:r>
    </w:p>
    <w:p w14:paraId="703883EA" w14:textId="77777777" w:rsidR="00443196" w:rsidRDefault="00443196"/>
  </w:endnote>
  <w:endnote w:type="continuationSeparator" w:id="0">
    <w:p w14:paraId="2D021594" w14:textId="77777777" w:rsidR="00443196" w:rsidRDefault="00443196" w:rsidP="007F3563">
      <w:pPr>
        <w:spacing w:after="0"/>
      </w:pPr>
      <w:r>
        <w:continuationSeparator/>
      </w:r>
    </w:p>
    <w:p w14:paraId="44028BC2" w14:textId="77777777" w:rsidR="00443196" w:rsidRDefault="00443196"/>
  </w:endnote>
  <w:endnote w:type="continuationNotice" w:id="1">
    <w:p w14:paraId="2D251DAB" w14:textId="77777777" w:rsidR="00443196" w:rsidRDefault="0044319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to Sans Symbols">
    <w:altName w:val="Times New Roman"/>
    <w:charset w:val="00"/>
    <w:family w:val="auto"/>
    <w:pitch w:val="default"/>
  </w:font>
  <w:font w:name="&quot;Arial&quot;,sans-serif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(Body)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nderson BCG Serif">
    <w:altName w:val="Constantia"/>
    <w:charset w:val="00"/>
    <w:family w:val="roman"/>
    <w:pitch w:val="variable"/>
    <w:sig w:usb0="00000001" w:usb1="D000E06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7BCAC" w14:textId="77777777" w:rsidR="002C0BDB" w:rsidRDefault="002C0BD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4685360"/>
      <w:docPartObj>
        <w:docPartGallery w:val="Page Numbers (Bottom of Page)"/>
        <w:docPartUnique/>
      </w:docPartObj>
    </w:sdtPr>
    <w:sdtEndPr/>
    <w:sdtContent>
      <w:p w14:paraId="35C2E05A" w14:textId="11B8D8DE" w:rsidR="00123A51" w:rsidRDefault="00123A5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E3D">
          <w:rPr>
            <w:noProof/>
          </w:rPr>
          <w:t>2</w:t>
        </w:r>
        <w:r>
          <w:fldChar w:fldCharType="end"/>
        </w:r>
      </w:p>
    </w:sdtContent>
  </w:sdt>
  <w:p w14:paraId="3EE9407D" w14:textId="77777777" w:rsidR="00123A51" w:rsidRDefault="00123A5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D5F1D" w14:textId="77777777" w:rsidR="002C0BDB" w:rsidRDefault="002C0B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7341E" w14:textId="77777777" w:rsidR="00443196" w:rsidRDefault="00443196" w:rsidP="007F3563">
      <w:pPr>
        <w:spacing w:after="0"/>
      </w:pPr>
      <w:r>
        <w:separator/>
      </w:r>
    </w:p>
    <w:p w14:paraId="19D71D1F" w14:textId="77777777" w:rsidR="00443196" w:rsidRDefault="00443196"/>
  </w:footnote>
  <w:footnote w:type="continuationSeparator" w:id="0">
    <w:p w14:paraId="419B3869" w14:textId="77777777" w:rsidR="00443196" w:rsidRDefault="00443196" w:rsidP="007F3563">
      <w:pPr>
        <w:spacing w:after="0"/>
      </w:pPr>
      <w:r>
        <w:continuationSeparator/>
      </w:r>
    </w:p>
    <w:p w14:paraId="7ACFDDCC" w14:textId="77777777" w:rsidR="00443196" w:rsidRDefault="00443196"/>
  </w:footnote>
  <w:footnote w:type="continuationNotice" w:id="1">
    <w:p w14:paraId="35641B80" w14:textId="77777777" w:rsidR="00443196" w:rsidRDefault="0044319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C384B" w14:textId="5C1CE576" w:rsidR="002C0BDB" w:rsidRDefault="002C0BD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B9BB85B" wp14:editId="0E038326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7145" b="10160"/>
              <wp:wrapSquare wrapText="bothSides"/>
              <wp:docPr id="2" name="Textové pole 2" descr="Veřejně přístupné informac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1EA090" w14:textId="240279B3" w:rsidR="002C0BDB" w:rsidRPr="00A60768" w:rsidRDefault="002C0BDB">
                          <w:pPr>
                            <w:rPr>
                              <w:rFonts w:ascii="Calibri" w:eastAsia="Calibri" w:hAnsi="Calibri" w:cs="Calibri"/>
                              <w:color w:val="000000"/>
                              <w:szCs w:val="20"/>
                            </w:rPr>
                          </w:pPr>
                          <w:r w:rsidRPr="00A60768">
                            <w:rPr>
                              <w:rFonts w:ascii="Calibri" w:eastAsia="Calibri" w:hAnsi="Calibri" w:cs="Calibri"/>
                              <w:color w:val="00000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9BB85B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Veřejně přístupné informace" style="position:absolute;left:0;text-align:left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" filled="f" stroked="f">
              <v:textbox style="mso-fit-shape-to-text:t" inset="5pt,0,0,0">
                <w:txbxContent>
                  <w:p w14:paraId="1A1EA090" w14:textId="240279B3" w:rsidR="002C0BDB" w:rsidRPr="00A60768" w:rsidRDefault="002C0BDB">
                    <w:pPr>
                      <w:rPr>
                        <w:rFonts w:ascii="Calibri" w:eastAsia="Calibri" w:hAnsi="Calibri" w:cs="Calibri"/>
                        <w:color w:val="000000"/>
                        <w:szCs w:val="20"/>
                      </w:rPr>
                    </w:pPr>
                    <w:r w:rsidRPr="00A60768">
                      <w:rPr>
                        <w:rFonts w:ascii="Calibri" w:eastAsia="Calibri" w:hAnsi="Calibri" w:cs="Calibri"/>
                        <w:color w:val="00000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A7B37" w14:textId="030BF303" w:rsidR="002C0BDB" w:rsidRDefault="002C0BD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C7661CC" wp14:editId="66D6C5EC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7145" b="10160"/>
              <wp:wrapSquare wrapText="bothSides"/>
              <wp:docPr id="3" name="Textové pole 3" descr="Veřejně přístupné informac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3EEFE5" w14:textId="238600BB" w:rsidR="002C0BDB" w:rsidRPr="00A60768" w:rsidRDefault="002C0BDB">
                          <w:pPr>
                            <w:rPr>
                              <w:rFonts w:ascii="Calibri" w:eastAsia="Calibri" w:hAnsi="Calibri" w:cs="Calibri"/>
                              <w:color w:val="000000"/>
                              <w:szCs w:val="20"/>
                            </w:rPr>
                          </w:pPr>
                          <w:r w:rsidRPr="00A60768">
                            <w:rPr>
                              <w:rFonts w:ascii="Calibri" w:eastAsia="Calibri" w:hAnsi="Calibri" w:cs="Calibri"/>
                              <w:color w:val="00000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7661CC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Veřejně přístupné informace" style="position:absolute;left:0;text-align:left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" filled="f" stroked="f">
              <v:textbox style="mso-fit-shape-to-text:t" inset="5pt,0,0,0">
                <w:txbxContent>
                  <w:p w14:paraId="623EEFE5" w14:textId="238600BB" w:rsidR="002C0BDB" w:rsidRPr="00A60768" w:rsidRDefault="002C0BDB">
                    <w:pPr>
                      <w:rPr>
                        <w:rFonts w:ascii="Calibri" w:eastAsia="Calibri" w:hAnsi="Calibri" w:cs="Calibri"/>
                        <w:color w:val="000000"/>
                        <w:szCs w:val="20"/>
                      </w:rPr>
                    </w:pPr>
                    <w:r w:rsidRPr="00A60768">
                      <w:rPr>
                        <w:rFonts w:ascii="Calibri" w:eastAsia="Calibri" w:hAnsi="Calibri" w:cs="Calibri"/>
                        <w:color w:val="00000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A5F7D" w14:textId="7383A21C" w:rsidR="002C0BDB" w:rsidRDefault="002C0BD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BEF10F3" wp14:editId="505EDB2C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7145" b="10160"/>
              <wp:wrapSquare wrapText="bothSides"/>
              <wp:docPr id="1" name="Textové pole 1" descr="Veřejně přístupné informac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D295D9" w14:textId="6CCB5A94" w:rsidR="002C0BDB" w:rsidRPr="00A60768" w:rsidRDefault="002C0BDB">
                          <w:pPr>
                            <w:rPr>
                              <w:rFonts w:ascii="Calibri" w:eastAsia="Calibri" w:hAnsi="Calibri" w:cs="Calibri"/>
                              <w:color w:val="000000"/>
                              <w:szCs w:val="20"/>
                            </w:rPr>
                          </w:pPr>
                          <w:r w:rsidRPr="00A60768">
                            <w:rPr>
                              <w:rFonts w:ascii="Calibri" w:eastAsia="Calibri" w:hAnsi="Calibri" w:cs="Calibri"/>
                              <w:color w:val="00000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EF10F3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Veřejně přístupné informace" style="position:absolute;left:0;text-align:left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" filled="f" stroked="f">
              <v:textbox style="mso-fit-shape-to-text:t" inset="5pt,0,0,0">
                <w:txbxContent>
                  <w:p w14:paraId="1FD295D9" w14:textId="6CCB5A94" w:rsidR="002C0BDB" w:rsidRPr="00A60768" w:rsidRDefault="002C0BDB">
                    <w:pPr>
                      <w:rPr>
                        <w:rFonts w:ascii="Calibri" w:eastAsia="Calibri" w:hAnsi="Calibri" w:cs="Calibri"/>
                        <w:color w:val="000000"/>
                        <w:szCs w:val="20"/>
                      </w:rPr>
                    </w:pPr>
                    <w:r w:rsidRPr="00A60768">
                      <w:rPr>
                        <w:rFonts w:ascii="Calibri" w:eastAsia="Calibri" w:hAnsi="Calibri" w:cs="Calibri"/>
                        <w:color w:val="00000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23B5"/>
    <w:multiLevelType w:val="multilevel"/>
    <w:tmpl w:val="E8A48D7C"/>
    <w:numStyleLink w:val="VariantaA-sla"/>
  </w:abstractNum>
  <w:abstractNum w:abstractNumId="1" w15:restartNumberingAfterBreak="0">
    <w:nsid w:val="00E45872"/>
    <w:multiLevelType w:val="multilevel"/>
    <w:tmpl w:val="9942151C"/>
    <w:lvl w:ilvl="0">
      <w:start w:val="1"/>
      <w:numFmt w:val="bullet"/>
      <w:lvlText w:val="§"/>
      <w:lvlJc w:val="left"/>
      <w:pPr>
        <w:ind w:left="234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306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22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38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2" w15:restartNumberingAfterBreak="0">
    <w:nsid w:val="027615B3"/>
    <w:multiLevelType w:val="hybridMultilevel"/>
    <w:tmpl w:val="3DF8B068"/>
    <w:lvl w:ilvl="0" w:tplc="04050011">
      <w:start w:val="2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800707"/>
    <w:multiLevelType w:val="hybridMultilevel"/>
    <w:tmpl w:val="95BE00D2"/>
    <w:lvl w:ilvl="0" w:tplc="CEB6A0A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56EDF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EE71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86ED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04AC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B66C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4468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3C16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AE7A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00580F"/>
    <w:multiLevelType w:val="hybridMultilevel"/>
    <w:tmpl w:val="DAAA6F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D41A20"/>
    <w:multiLevelType w:val="hybridMultilevel"/>
    <w:tmpl w:val="014054BA"/>
    <w:lvl w:ilvl="0" w:tplc="273C7C2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7" w15:restartNumberingAfterBreak="0">
    <w:nsid w:val="047951C9"/>
    <w:multiLevelType w:val="hybridMultilevel"/>
    <w:tmpl w:val="C3A66B6C"/>
    <w:lvl w:ilvl="0" w:tplc="B5B8F10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A42BB6"/>
    <w:multiLevelType w:val="hybridMultilevel"/>
    <w:tmpl w:val="32346882"/>
    <w:lvl w:ilvl="0" w:tplc="305A3E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22C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2A06E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DD046E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F9EE2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26CA8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12287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8CB0E3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2D28D8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4D331EF"/>
    <w:multiLevelType w:val="multilevel"/>
    <w:tmpl w:val="C7A828D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5B50DC1"/>
    <w:multiLevelType w:val="hybridMultilevel"/>
    <w:tmpl w:val="CBEE1D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EF4491"/>
    <w:multiLevelType w:val="hybridMultilevel"/>
    <w:tmpl w:val="64360652"/>
    <w:lvl w:ilvl="0" w:tplc="77325D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F81F5F"/>
    <w:multiLevelType w:val="hybridMultilevel"/>
    <w:tmpl w:val="8FA89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0F1851"/>
    <w:multiLevelType w:val="hybridMultilevel"/>
    <w:tmpl w:val="7A6851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1069B"/>
    <w:multiLevelType w:val="hybridMultilevel"/>
    <w:tmpl w:val="2F6459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206C4"/>
    <w:multiLevelType w:val="multilevel"/>
    <w:tmpl w:val="82C66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07295459"/>
    <w:multiLevelType w:val="hybridMultilevel"/>
    <w:tmpl w:val="64F0CF70"/>
    <w:lvl w:ilvl="0" w:tplc="040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7" w15:restartNumberingAfterBreak="0">
    <w:nsid w:val="074045C0"/>
    <w:multiLevelType w:val="multilevel"/>
    <w:tmpl w:val="FD3CA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07B0099F"/>
    <w:multiLevelType w:val="hybridMultilevel"/>
    <w:tmpl w:val="78D4FD46"/>
    <w:lvl w:ilvl="0" w:tplc="CAA248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752EB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EBC455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C8CEFF6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6B94AF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CDE698A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EE38983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B68A48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A1EC899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 w15:restartNumberingAfterBreak="0">
    <w:nsid w:val="07C4216A"/>
    <w:multiLevelType w:val="hybridMultilevel"/>
    <w:tmpl w:val="11008294"/>
    <w:lvl w:ilvl="0" w:tplc="DAE62A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A802A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D6030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2C0E73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D9CE5B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CD7222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E6EC0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0916DE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5E1E09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08A600BE"/>
    <w:multiLevelType w:val="hybridMultilevel"/>
    <w:tmpl w:val="2EF4B0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8BF49C0"/>
    <w:multiLevelType w:val="multilevel"/>
    <w:tmpl w:val="1D84ABB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08EE5525"/>
    <w:multiLevelType w:val="multilevel"/>
    <w:tmpl w:val="EE7A5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09886285"/>
    <w:multiLevelType w:val="multilevel"/>
    <w:tmpl w:val="A9BAAF5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b/>
        <w:color w:val="000000" w:themeColor="text1"/>
      </w:rPr>
    </w:lvl>
    <w:lvl w:ilvl="1">
      <w:start w:val="3"/>
      <w:numFmt w:val="decimal"/>
      <w:lvlText w:val="%1.%2."/>
      <w:lvlJc w:val="left"/>
      <w:pPr>
        <w:ind w:left="365" w:hanging="72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10" w:hanging="720"/>
      </w:pPr>
      <w:rPr>
        <w:rFonts w:hint="default"/>
        <w:b/>
        <w:color w:val="000000" w:themeColor="text1"/>
      </w:rPr>
    </w:lvl>
    <w:lvl w:ilvl="3">
      <w:start w:val="1"/>
      <w:numFmt w:val="decimal"/>
      <w:lvlText w:val="%1.%2.%3.%4."/>
      <w:lvlJc w:val="left"/>
      <w:pPr>
        <w:ind w:left="15" w:hanging="108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-34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-335" w:hanging="144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-69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-685" w:hanging="180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-680" w:hanging="2160"/>
      </w:pPr>
      <w:rPr>
        <w:rFonts w:hint="default"/>
        <w:b/>
        <w:color w:val="000000" w:themeColor="text1"/>
      </w:rPr>
    </w:lvl>
  </w:abstractNum>
  <w:abstractNum w:abstractNumId="24" w15:restartNumberingAfterBreak="0">
    <w:nsid w:val="09F400B1"/>
    <w:multiLevelType w:val="hybridMultilevel"/>
    <w:tmpl w:val="51103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B1F4449"/>
    <w:multiLevelType w:val="hybridMultilevel"/>
    <w:tmpl w:val="DBF4C5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BDB04CF"/>
    <w:multiLevelType w:val="hybridMultilevel"/>
    <w:tmpl w:val="04EE6FC4"/>
    <w:lvl w:ilvl="0" w:tplc="00E0D4E6">
      <w:start w:val="1"/>
      <w:numFmt w:val="lowerRoman"/>
      <w:lvlText w:val="%1)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0C066C5D"/>
    <w:multiLevelType w:val="hybridMultilevel"/>
    <w:tmpl w:val="F7C4D446"/>
    <w:lvl w:ilvl="0" w:tplc="B2D070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C862000"/>
    <w:multiLevelType w:val="multilevel"/>
    <w:tmpl w:val="953A6F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0C890AD6"/>
    <w:multiLevelType w:val="hybridMultilevel"/>
    <w:tmpl w:val="092C4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CB11F54"/>
    <w:multiLevelType w:val="hybridMultilevel"/>
    <w:tmpl w:val="3DBE0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D0A6FDB"/>
    <w:multiLevelType w:val="multilevel"/>
    <w:tmpl w:val="FD3CA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0D1F0D20"/>
    <w:multiLevelType w:val="hybridMultilevel"/>
    <w:tmpl w:val="787EEA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ED07213"/>
    <w:multiLevelType w:val="hybridMultilevel"/>
    <w:tmpl w:val="4EF0A5EE"/>
    <w:lvl w:ilvl="0" w:tplc="13AACB9A">
      <w:start w:val="1"/>
      <w:numFmt w:val="lowerLetter"/>
      <w:pStyle w:val="Odrkyabc"/>
      <w:lvlText w:val="%1)"/>
      <w:lvlJc w:val="left"/>
      <w:pPr>
        <w:tabs>
          <w:tab w:val="num" w:pos="680"/>
        </w:tabs>
        <w:ind w:left="680" w:hanging="396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FCD625A"/>
    <w:multiLevelType w:val="hybridMultilevel"/>
    <w:tmpl w:val="FC6ED01E"/>
    <w:lvl w:ilvl="0" w:tplc="081A408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10C3866"/>
    <w:multiLevelType w:val="hybridMultilevel"/>
    <w:tmpl w:val="D1649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14F410F"/>
    <w:multiLevelType w:val="hybridMultilevel"/>
    <w:tmpl w:val="E3D855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1797B3A"/>
    <w:multiLevelType w:val="hybridMultilevel"/>
    <w:tmpl w:val="41746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2173131"/>
    <w:multiLevelType w:val="hybridMultilevel"/>
    <w:tmpl w:val="B2F01D8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12B670F7"/>
    <w:multiLevelType w:val="hybridMultilevel"/>
    <w:tmpl w:val="13921F4E"/>
    <w:lvl w:ilvl="0" w:tplc="C6A41D4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2BC6F23"/>
    <w:multiLevelType w:val="hybridMultilevel"/>
    <w:tmpl w:val="D200E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30316F8"/>
    <w:multiLevelType w:val="multilevel"/>
    <w:tmpl w:val="3320A8B2"/>
    <w:numStyleLink w:val="VariantaB-odrky"/>
  </w:abstractNum>
  <w:abstractNum w:abstractNumId="42" w15:restartNumberingAfterBreak="0">
    <w:nsid w:val="13501B3A"/>
    <w:multiLevelType w:val="hybridMultilevel"/>
    <w:tmpl w:val="709A2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3E269B8"/>
    <w:multiLevelType w:val="hybridMultilevel"/>
    <w:tmpl w:val="EE1C36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3F54B63"/>
    <w:multiLevelType w:val="hybridMultilevel"/>
    <w:tmpl w:val="935232B0"/>
    <w:lvl w:ilvl="0" w:tplc="B2D070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41F2184"/>
    <w:multiLevelType w:val="multilevel"/>
    <w:tmpl w:val="6D62C7A6"/>
    <w:lvl w:ilvl="0">
      <w:start w:val="1"/>
      <w:numFmt w:val="none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 w15:restartNumberingAfterBreak="0">
    <w:nsid w:val="143E3EAA"/>
    <w:multiLevelType w:val="hybridMultilevel"/>
    <w:tmpl w:val="74B47D4C"/>
    <w:lvl w:ilvl="0" w:tplc="8EFCD666">
      <w:start w:val="1"/>
      <w:numFmt w:val="decimal"/>
      <w:lvlText w:val="%1."/>
      <w:lvlJc w:val="left"/>
      <w:pPr>
        <w:ind w:left="720" w:hanging="360"/>
      </w:pPr>
    </w:lvl>
    <w:lvl w:ilvl="1" w:tplc="7FA44342">
      <w:start w:val="1"/>
      <w:numFmt w:val="lowerLetter"/>
      <w:lvlText w:val="%2."/>
      <w:lvlJc w:val="left"/>
      <w:pPr>
        <w:ind w:left="1440" w:hanging="360"/>
      </w:pPr>
    </w:lvl>
    <w:lvl w:ilvl="2" w:tplc="CCC6634A">
      <w:start w:val="1"/>
      <w:numFmt w:val="lowerRoman"/>
      <w:lvlText w:val="%3."/>
      <w:lvlJc w:val="right"/>
      <w:pPr>
        <w:ind w:left="2160" w:hanging="180"/>
      </w:pPr>
    </w:lvl>
    <w:lvl w:ilvl="3" w:tplc="A044CCBC">
      <w:start w:val="1"/>
      <w:numFmt w:val="decimal"/>
      <w:lvlText w:val="%4."/>
      <w:lvlJc w:val="left"/>
      <w:pPr>
        <w:ind w:left="2880" w:hanging="360"/>
      </w:pPr>
    </w:lvl>
    <w:lvl w:ilvl="4" w:tplc="DB12BC38">
      <w:start w:val="1"/>
      <w:numFmt w:val="lowerLetter"/>
      <w:lvlText w:val="%5."/>
      <w:lvlJc w:val="left"/>
      <w:pPr>
        <w:ind w:left="3600" w:hanging="360"/>
      </w:pPr>
    </w:lvl>
    <w:lvl w:ilvl="5" w:tplc="67FED0FA">
      <w:start w:val="1"/>
      <w:numFmt w:val="lowerRoman"/>
      <w:lvlText w:val="%6."/>
      <w:lvlJc w:val="right"/>
      <w:pPr>
        <w:ind w:left="4320" w:hanging="180"/>
      </w:pPr>
    </w:lvl>
    <w:lvl w:ilvl="6" w:tplc="ABF8D2B6">
      <w:start w:val="1"/>
      <w:numFmt w:val="decimal"/>
      <w:lvlText w:val="%7."/>
      <w:lvlJc w:val="left"/>
      <w:pPr>
        <w:ind w:left="5040" w:hanging="360"/>
      </w:pPr>
    </w:lvl>
    <w:lvl w:ilvl="7" w:tplc="21401AE8">
      <w:start w:val="1"/>
      <w:numFmt w:val="lowerLetter"/>
      <w:lvlText w:val="%8."/>
      <w:lvlJc w:val="left"/>
      <w:pPr>
        <w:ind w:left="5760" w:hanging="360"/>
      </w:pPr>
    </w:lvl>
    <w:lvl w:ilvl="8" w:tplc="B958FC66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48" w15:restartNumberingAfterBreak="0">
    <w:nsid w:val="16376351"/>
    <w:multiLevelType w:val="hybridMultilevel"/>
    <w:tmpl w:val="D73E08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7430B39"/>
    <w:multiLevelType w:val="hybridMultilevel"/>
    <w:tmpl w:val="CDD61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7443E55"/>
    <w:multiLevelType w:val="hybridMultilevel"/>
    <w:tmpl w:val="F1D051BA"/>
    <w:lvl w:ilvl="0" w:tplc="54BC07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91872DA"/>
    <w:multiLevelType w:val="multilevel"/>
    <w:tmpl w:val="E8A48D7C"/>
    <w:numStyleLink w:val="VariantaA-sla"/>
  </w:abstractNum>
  <w:abstractNum w:abstractNumId="52" w15:restartNumberingAfterBreak="0">
    <w:nsid w:val="19A16392"/>
    <w:multiLevelType w:val="hybridMultilevel"/>
    <w:tmpl w:val="3B1ABC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A5B5123"/>
    <w:multiLevelType w:val="hybridMultilevel"/>
    <w:tmpl w:val="FFBA4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AF030DB"/>
    <w:multiLevelType w:val="hybridMultilevel"/>
    <w:tmpl w:val="06BA5ABE"/>
    <w:lvl w:ilvl="0" w:tplc="7BD6463A">
      <w:start w:val="1"/>
      <w:numFmt w:val="bullet"/>
      <w:lvlText w:val="˗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1BA5502D"/>
    <w:multiLevelType w:val="hybridMultilevel"/>
    <w:tmpl w:val="1EC4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CF9295E"/>
    <w:multiLevelType w:val="hybridMultilevel"/>
    <w:tmpl w:val="5E8E02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D087A0C"/>
    <w:multiLevelType w:val="hybridMultilevel"/>
    <w:tmpl w:val="D42E6FE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1D3064B1"/>
    <w:multiLevelType w:val="hybridMultilevel"/>
    <w:tmpl w:val="F1E6C8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D8B1196"/>
    <w:multiLevelType w:val="hybridMultilevel"/>
    <w:tmpl w:val="9702B0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1DBC7352"/>
    <w:multiLevelType w:val="multilevel"/>
    <w:tmpl w:val="E8C2FB1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E1B1E0D"/>
    <w:multiLevelType w:val="hybridMultilevel"/>
    <w:tmpl w:val="18C805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E206164"/>
    <w:multiLevelType w:val="hybridMultilevel"/>
    <w:tmpl w:val="2436A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E671FD6"/>
    <w:multiLevelType w:val="multilevel"/>
    <w:tmpl w:val="26563B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4" w15:restartNumberingAfterBreak="0">
    <w:nsid w:val="203C5A65"/>
    <w:multiLevelType w:val="multilevel"/>
    <w:tmpl w:val="E530225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b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5" w15:restartNumberingAfterBreak="0">
    <w:nsid w:val="204F27A7"/>
    <w:multiLevelType w:val="hybridMultilevel"/>
    <w:tmpl w:val="351AA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097015F"/>
    <w:multiLevelType w:val="hybridMultilevel"/>
    <w:tmpl w:val="AFF60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0B5085B"/>
    <w:multiLevelType w:val="hybridMultilevel"/>
    <w:tmpl w:val="6154666A"/>
    <w:lvl w:ilvl="0" w:tplc="ABC05C1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2990E80"/>
    <w:multiLevelType w:val="hybridMultilevel"/>
    <w:tmpl w:val="F7C628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31B7405"/>
    <w:multiLevelType w:val="hybridMultilevel"/>
    <w:tmpl w:val="8CB0A7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37C7AE1"/>
    <w:multiLevelType w:val="hybridMultilevel"/>
    <w:tmpl w:val="68BA1B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3A36490"/>
    <w:multiLevelType w:val="hybridMultilevel"/>
    <w:tmpl w:val="B7D27336"/>
    <w:lvl w:ilvl="0" w:tplc="705026D2">
      <w:start w:val="1"/>
      <w:numFmt w:val="bullet"/>
      <w:pStyle w:val="Odrka"/>
      <w:lvlText w:val="―"/>
      <w:lvlJc w:val="left"/>
      <w:pPr>
        <w:ind w:left="72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4807F54"/>
    <w:multiLevelType w:val="multilevel"/>
    <w:tmpl w:val="11E619EA"/>
    <w:lvl w:ilvl="0">
      <w:start w:val="1"/>
      <w:numFmt w:val="lowerLetter"/>
      <w:pStyle w:val="Bullet3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568489F"/>
    <w:multiLevelType w:val="hybridMultilevel"/>
    <w:tmpl w:val="887694C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5816CC8"/>
    <w:multiLevelType w:val="multilevel"/>
    <w:tmpl w:val="1E5403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5" w15:restartNumberingAfterBreak="0">
    <w:nsid w:val="25986F90"/>
    <w:multiLevelType w:val="hybridMultilevel"/>
    <w:tmpl w:val="722C602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6250F77"/>
    <w:multiLevelType w:val="hybridMultilevel"/>
    <w:tmpl w:val="0F2A3B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6567AF0"/>
    <w:multiLevelType w:val="hybridMultilevel"/>
    <w:tmpl w:val="3392AEE8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8" w15:restartNumberingAfterBreak="0">
    <w:nsid w:val="26B63E73"/>
    <w:multiLevelType w:val="hybridMultilevel"/>
    <w:tmpl w:val="2264D278"/>
    <w:lvl w:ilvl="0" w:tplc="04F46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6AC17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549A28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0E697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D84ECB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7054C5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7A23D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D941B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B78E40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289A5EA2"/>
    <w:multiLevelType w:val="multilevel"/>
    <w:tmpl w:val="E8BAE50A"/>
    <w:numStyleLink w:val="VariantaA-odrky"/>
  </w:abstractNum>
  <w:abstractNum w:abstractNumId="80" w15:restartNumberingAfterBreak="0">
    <w:nsid w:val="28D830A4"/>
    <w:multiLevelType w:val="multilevel"/>
    <w:tmpl w:val="7D7213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1" w15:restartNumberingAfterBreak="0">
    <w:nsid w:val="2B0F235F"/>
    <w:multiLevelType w:val="hybridMultilevel"/>
    <w:tmpl w:val="7D84AA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2B354F4B"/>
    <w:multiLevelType w:val="multilevel"/>
    <w:tmpl w:val="65A61CEA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2B853F54"/>
    <w:multiLevelType w:val="hybridMultilevel"/>
    <w:tmpl w:val="491C3E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2BC4273A"/>
    <w:multiLevelType w:val="multilevel"/>
    <w:tmpl w:val="314CA77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5" w15:restartNumberingAfterBreak="0">
    <w:nsid w:val="2C1E345F"/>
    <w:multiLevelType w:val="hybridMultilevel"/>
    <w:tmpl w:val="CFFA6AF8"/>
    <w:lvl w:ilvl="0" w:tplc="1164756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A08C6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F2F3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82B6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0208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B6C2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C63A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BA4C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E6A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2D2759D7"/>
    <w:multiLevelType w:val="hybridMultilevel"/>
    <w:tmpl w:val="DFB6C838"/>
    <w:lvl w:ilvl="0" w:tplc="E3D61CF2">
      <w:start w:val="202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7" w15:restartNumberingAfterBreak="0">
    <w:nsid w:val="2DDF131F"/>
    <w:multiLevelType w:val="multilevel"/>
    <w:tmpl w:val="8A9E5F8A"/>
    <w:lvl w:ilvl="0">
      <w:start w:val="1"/>
      <w:numFmt w:val="decimal"/>
      <w:lvlText w:val="%1.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88" w15:restartNumberingAfterBreak="0">
    <w:nsid w:val="2F492F94"/>
    <w:multiLevelType w:val="hybridMultilevel"/>
    <w:tmpl w:val="FDDC9778"/>
    <w:lvl w:ilvl="0" w:tplc="7FE04E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4D8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80A0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1E25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10AA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88FE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218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1447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76E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0667839"/>
    <w:multiLevelType w:val="hybridMultilevel"/>
    <w:tmpl w:val="D92CF6D4"/>
    <w:lvl w:ilvl="0" w:tplc="E63874C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0B13368"/>
    <w:multiLevelType w:val="hybridMultilevel"/>
    <w:tmpl w:val="6B46BD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0F202D3"/>
    <w:multiLevelType w:val="hybridMultilevel"/>
    <w:tmpl w:val="6EBA5D06"/>
    <w:lvl w:ilvl="0" w:tplc="6CB276E4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2" w15:restartNumberingAfterBreak="0">
    <w:nsid w:val="316E7DE4"/>
    <w:multiLevelType w:val="hybridMultilevel"/>
    <w:tmpl w:val="D6C043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31FF37DE"/>
    <w:multiLevelType w:val="hybridMultilevel"/>
    <w:tmpl w:val="0FF69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29B2D34"/>
    <w:multiLevelType w:val="hybridMultilevel"/>
    <w:tmpl w:val="EB688B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3FB67B0"/>
    <w:multiLevelType w:val="hybridMultilevel"/>
    <w:tmpl w:val="4404AA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4236E6B"/>
    <w:multiLevelType w:val="hybridMultilevel"/>
    <w:tmpl w:val="7E5612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34636F86"/>
    <w:multiLevelType w:val="hybridMultilevel"/>
    <w:tmpl w:val="4F12D558"/>
    <w:lvl w:ilvl="0" w:tplc="516E7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310AB4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BE83E7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9474CA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41C69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FEAED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0AC44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86D2AC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E7683A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" w15:restartNumberingAfterBreak="0">
    <w:nsid w:val="346E0CB8"/>
    <w:multiLevelType w:val="hybridMultilevel"/>
    <w:tmpl w:val="FD4CEC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4707081"/>
    <w:multiLevelType w:val="hybridMultilevel"/>
    <w:tmpl w:val="DABCE9F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47B0CC3"/>
    <w:multiLevelType w:val="hybridMultilevel"/>
    <w:tmpl w:val="A45602DE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1" w15:restartNumberingAfterBreak="0">
    <w:nsid w:val="34C234B9"/>
    <w:multiLevelType w:val="hybridMultilevel"/>
    <w:tmpl w:val="95CC43D6"/>
    <w:lvl w:ilvl="0" w:tplc="02B0780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 w15:restartNumberingAfterBreak="0">
    <w:nsid w:val="34D05C0F"/>
    <w:multiLevelType w:val="hybridMultilevel"/>
    <w:tmpl w:val="8E98C1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5DB45A8"/>
    <w:multiLevelType w:val="hybridMultilevel"/>
    <w:tmpl w:val="589EFC98"/>
    <w:lvl w:ilvl="0" w:tplc="32B221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362744EA"/>
    <w:multiLevelType w:val="hybridMultilevel"/>
    <w:tmpl w:val="051EA1E4"/>
    <w:lvl w:ilvl="0" w:tplc="04050001">
      <w:start w:val="1"/>
      <w:numFmt w:val="bullet"/>
      <w:lvlText w:val=""/>
      <w:lvlJc w:val="left"/>
      <w:pPr>
        <w:ind w:left="71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78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5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92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9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7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4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21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864" w:hanging="360"/>
      </w:pPr>
      <w:rPr>
        <w:rFonts w:ascii="Wingdings" w:hAnsi="Wingdings" w:hint="default"/>
      </w:rPr>
    </w:lvl>
  </w:abstractNum>
  <w:abstractNum w:abstractNumId="105" w15:restartNumberingAfterBreak="0">
    <w:nsid w:val="36E51E42"/>
    <w:multiLevelType w:val="hybridMultilevel"/>
    <w:tmpl w:val="13B8E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3731005E"/>
    <w:multiLevelType w:val="hybridMultilevel"/>
    <w:tmpl w:val="938A87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7556A2B"/>
    <w:multiLevelType w:val="hybridMultilevel"/>
    <w:tmpl w:val="75827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15A9906">
      <w:start w:val="1"/>
      <w:numFmt w:val="lowerLetter"/>
      <w:lvlText w:val="%2."/>
      <w:lvlJc w:val="left"/>
      <w:pPr>
        <w:ind w:left="1440" w:hanging="360"/>
      </w:pPr>
    </w:lvl>
    <w:lvl w:ilvl="2" w:tplc="0BFC13E0">
      <w:start w:val="1"/>
      <w:numFmt w:val="lowerRoman"/>
      <w:lvlText w:val="%3."/>
      <w:lvlJc w:val="right"/>
      <w:pPr>
        <w:ind w:left="2160" w:hanging="180"/>
      </w:pPr>
    </w:lvl>
    <w:lvl w:ilvl="3" w:tplc="E3C47B2E">
      <w:start w:val="1"/>
      <w:numFmt w:val="decimal"/>
      <w:lvlText w:val="%4."/>
      <w:lvlJc w:val="left"/>
      <w:pPr>
        <w:ind w:left="2880" w:hanging="360"/>
      </w:pPr>
    </w:lvl>
    <w:lvl w:ilvl="4" w:tplc="31BA21F0">
      <w:start w:val="1"/>
      <w:numFmt w:val="lowerLetter"/>
      <w:lvlText w:val="%5."/>
      <w:lvlJc w:val="left"/>
      <w:pPr>
        <w:ind w:left="3600" w:hanging="360"/>
      </w:pPr>
    </w:lvl>
    <w:lvl w:ilvl="5" w:tplc="61FA2D0C">
      <w:start w:val="1"/>
      <w:numFmt w:val="lowerRoman"/>
      <w:lvlText w:val="%6."/>
      <w:lvlJc w:val="right"/>
      <w:pPr>
        <w:ind w:left="4320" w:hanging="180"/>
      </w:pPr>
    </w:lvl>
    <w:lvl w:ilvl="6" w:tplc="A4F620E2">
      <w:start w:val="1"/>
      <w:numFmt w:val="decimal"/>
      <w:lvlText w:val="%7."/>
      <w:lvlJc w:val="left"/>
      <w:pPr>
        <w:ind w:left="5040" w:hanging="360"/>
      </w:pPr>
    </w:lvl>
    <w:lvl w:ilvl="7" w:tplc="C4E414FC">
      <w:start w:val="1"/>
      <w:numFmt w:val="lowerLetter"/>
      <w:lvlText w:val="%8."/>
      <w:lvlJc w:val="left"/>
      <w:pPr>
        <w:ind w:left="5760" w:hanging="360"/>
      </w:pPr>
    </w:lvl>
    <w:lvl w:ilvl="8" w:tplc="514C671C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7F042AD"/>
    <w:multiLevelType w:val="multilevel"/>
    <w:tmpl w:val="6B6201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9" w15:restartNumberingAfterBreak="0">
    <w:nsid w:val="3B0B4A7B"/>
    <w:multiLevelType w:val="hybridMultilevel"/>
    <w:tmpl w:val="004E01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DD22F22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47640B"/>
    <w:multiLevelType w:val="multilevel"/>
    <w:tmpl w:val="9DE4CF6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11" w15:restartNumberingAfterBreak="0">
    <w:nsid w:val="3BEF712A"/>
    <w:multiLevelType w:val="multilevel"/>
    <w:tmpl w:val="40C2A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" w15:restartNumberingAfterBreak="0">
    <w:nsid w:val="3C055198"/>
    <w:multiLevelType w:val="multilevel"/>
    <w:tmpl w:val="EE7A5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3" w15:restartNumberingAfterBreak="0">
    <w:nsid w:val="3C526605"/>
    <w:multiLevelType w:val="hybridMultilevel"/>
    <w:tmpl w:val="58983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3C5C4A24"/>
    <w:multiLevelType w:val="hybridMultilevel"/>
    <w:tmpl w:val="2AAC851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3D2E3D09"/>
    <w:multiLevelType w:val="hybridMultilevel"/>
    <w:tmpl w:val="A8880A84"/>
    <w:lvl w:ilvl="0" w:tplc="0B620AE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3D617B43"/>
    <w:multiLevelType w:val="hybridMultilevel"/>
    <w:tmpl w:val="072A5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3DC905ED"/>
    <w:multiLevelType w:val="hybridMultilevel"/>
    <w:tmpl w:val="B7F6E590"/>
    <w:lvl w:ilvl="0" w:tplc="B29C7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3DFA55AC"/>
    <w:multiLevelType w:val="hybridMultilevel"/>
    <w:tmpl w:val="615C98E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3934F3D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3E51754D"/>
    <w:multiLevelType w:val="hybridMultilevel"/>
    <w:tmpl w:val="978AF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EF03ABC"/>
    <w:multiLevelType w:val="hybridMultilevel"/>
    <w:tmpl w:val="2BD888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FFC77F9"/>
    <w:multiLevelType w:val="multilevel"/>
    <w:tmpl w:val="BC64CB56"/>
    <w:lvl w:ilvl="0">
      <w:start w:val="1"/>
      <w:numFmt w:val="bullet"/>
      <w:pStyle w:val="Bullet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2" w15:restartNumberingAfterBreak="0">
    <w:nsid w:val="40203F75"/>
    <w:multiLevelType w:val="hybridMultilevel"/>
    <w:tmpl w:val="4A366182"/>
    <w:lvl w:ilvl="0" w:tplc="2698EE2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E182F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DA2E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BAB5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50D9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8CD2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A6E4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E6EB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0211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0274749"/>
    <w:multiLevelType w:val="hybridMultilevel"/>
    <w:tmpl w:val="028E67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14D5676"/>
    <w:multiLevelType w:val="hybridMultilevel"/>
    <w:tmpl w:val="87624D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29D3310"/>
    <w:multiLevelType w:val="hybridMultilevel"/>
    <w:tmpl w:val="3BCECB82"/>
    <w:lvl w:ilvl="0" w:tplc="94200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F0E04E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3800F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BC6F3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12ACC8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8A4ADA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649C25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1EE3B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806C3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6" w15:restartNumberingAfterBreak="0">
    <w:nsid w:val="42E8702A"/>
    <w:multiLevelType w:val="hybridMultilevel"/>
    <w:tmpl w:val="B3EC17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3F300B5"/>
    <w:multiLevelType w:val="hybridMultilevel"/>
    <w:tmpl w:val="B1E4F5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44FE7BA9"/>
    <w:multiLevelType w:val="hybridMultilevel"/>
    <w:tmpl w:val="40046646"/>
    <w:lvl w:ilvl="0" w:tplc="FD4E40E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5A03C9B"/>
    <w:multiLevelType w:val="hybridMultilevel"/>
    <w:tmpl w:val="731EB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6F601F4"/>
    <w:multiLevelType w:val="hybridMultilevel"/>
    <w:tmpl w:val="2994A148"/>
    <w:lvl w:ilvl="0" w:tplc="7634221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1" w15:restartNumberingAfterBreak="0">
    <w:nsid w:val="475018A6"/>
    <w:multiLevelType w:val="hybridMultilevel"/>
    <w:tmpl w:val="C1AC7D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82B59FA"/>
    <w:multiLevelType w:val="hybridMultilevel"/>
    <w:tmpl w:val="8C621A9E"/>
    <w:lvl w:ilvl="0" w:tplc="3FD08F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85769BB"/>
    <w:multiLevelType w:val="hybridMultilevel"/>
    <w:tmpl w:val="EF5C35C8"/>
    <w:lvl w:ilvl="0" w:tplc="8DDE205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7942C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E404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32F8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B662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8CBA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0C15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3C39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68BB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488C5BAF"/>
    <w:multiLevelType w:val="multilevel"/>
    <w:tmpl w:val="314236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5" w15:restartNumberingAfterBreak="0">
    <w:nsid w:val="48B16960"/>
    <w:multiLevelType w:val="hybridMultilevel"/>
    <w:tmpl w:val="D89EAFBC"/>
    <w:lvl w:ilvl="0" w:tplc="E8246AD4">
      <w:start w:val="1"/>
      <w:numFmt w:val="lowerRoman"/>
      <w:lvlText w:val="%1)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6" w15:restartNumberingAfterBreak="0">
    <w:nsid w:val="496E4251"/>
    <w:multiLevelType w:val="hybridMultilevel"/>
    <w:tmpl w:val="D7FEB2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4979737E"/>
    <w:multiLevelType w:val="hybridMultilevel"/>
    <w:tmpl w:val="4B20595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9A75F94"/>
    <w:multiLevelType w:val="hybridMultilevel"/>
    <w:tmpl w:val="F4841E3C"/>
    <w:lvl w:ilvl="0" w:tplc="0C92B4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9E76422"/>
    <w:multiLevelType w:val="hybridMultilevel"/>
    <w:tmpl w:val="8A6E1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4A334652"/>
    <w:multiLevelType w:val="hybridMultilevel"/>
    <w:tmpl w:val="F1FE5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4AEC7401"/>
    <w:multiLevelType w:val="hybridMultilevel"/>
    <w:tmpl w:val="4FCA4908"/>
    <w:lvl w:ilvl="0" w:tplc="F7DC5B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CD026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D1C728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5CC2DD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D58E0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CF9A06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90C91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96441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E02475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2" w15:restartNumberingAfterBreak="0">
    <w:nsid w:val="4AF144B5"/>
    <w:multiLevelType w:val="hybridMultilevel"/>
    <w:tmpl w:val="F35819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4B1116DD"/>
    <w:multiLevelType w:val="hybridMultilevel"/>
    <w:tmpl w:val="C7D0F8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4B2D3C69"/>
    <w:multiLevelType w:val="hybridMultilevel"/>
    <w:tmpl w:val="F90E11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4BAC4AC1"/>
    <w:multiLevelType w:val="hybridMultilevel"/>
    <w:tmpl w:val="33A229AA"/>
    <w:lvl w:ilvl="0" w:tplc="DC460A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E5A03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808698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C104356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192C0D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AF0027E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6528145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CACEEB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9D6CC1C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6" w15:restartNumberingAfterBreak="0">
    <w:nsid w:val="4BFB1B5E"/>
    <w:multiLevelType w:val="hybridMultilevel"/>
    <w:tmpl w:val="593E11A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4D4C11B3"/>
    <w:multiLevelType w:val="hybridMultilevel"/>
    <w:tmpl w:val="5038D4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 w15:restartNumberingAfterBreak="0">
    <w:nsid w:val="4E2A68BD"/>
    <w:multiLevelType w:val="multilevel"/>
    <w:tmpl w:val="B930FD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9" w15:restartNumberingAfterBreak="0">
    <w:nsid w:val="4EED13B9"/>
    <w:multiLevelType w:val="hybridMultilevel"/>
    <w:tmpl w:val="68DE99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1" w15:restartNumberingAfterBreak="0">
    <w:nsid w:val="4FF418EE"/>
    <w:multiLevelType w:val="hybridMultilevel"/>
    <w:tmpl w:val="22E86F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10D3914"/>
    <w:multiLevelType w:val="hybridMultilevel"/>
    <w:tmpl w:val="DC2892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1B12AA2"/>
    <w:multiLevelType w:val="hybridMultilevel"/>
    <w:tmpl w:val="E7F8D1A6"/>
    <w:lvl w:ilvl="0" w:tplc="CD6E9F6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51F26F75"/>
    <w:multiLevelType w:val="hybridMultilevel"/>
    <w:tmpl w:val="B044AB16"/>
    <w:lvl w:ilvl="0" w:tplc="D6ACFD54">
      <w:start w:val="1"/>
      <w:numFmt w:val="bullet"/>
      <w:pStyle w:val="Bullet1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525F3C34"/>
    <w:multiLevelType w:val="hybridMultilevel"/>
    <w:tmpl w:val="C512FA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53861237"/>
    <w:multiLevelType w:val="multilevel"/>
    <w:tmpl w:val="D5EC45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3D01997"/>
    <w:multiLevelType w:val="hybridMultilevel"/>
    <w:tmpl w:val="D4766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541B4A5A"/>
    <w:multiLevelType w:val="hybridMultilevel"/>
    <w:tmpl w:val="5CDCE9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F74753"/>
    <w:multiLevelType w:val="hybridMultilevel"/>
    <w:tmpl w:val="1C1CDA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55F572F4"/>
    <w:multiLevelType w:val="hybridMultilevel"/>
    <w:tmpl w:val="745EA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56D02B73"/>
    <w:multiLevelType w:val="hybridMultilevel"/>
    <w:tmpl w:val="3E06D5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839424F"/>
    <w:multiLevelType w:val="multilevel"/>
    <w:tmpl w:val="27C8A03A"/>
    <w:lvl w:ilvl="0">
      <w:start w:val="4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3" w15:restartNumberingAfterBreak="0">
    <w:nsid w:val="589219C5"/>
    <w:multiLevelType w:val="multilevel"/>
    <w:tmpl w:val="90C44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165" w15:restartNumberingAfterBreak="0">
    <w:nsid w:val="59071930"/>
    <w:multiLevelType w:val="hybridMultilevel"/>
    <w:tmpl w:val="F35819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591D66AA"/>
    <w:multiLevelType w:val="hybridMultilevel"/>
    <w:tmpl w:val="ABB26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596830A6"/>
    <w:multiLevelType w:val="hybridMultilevel"/>
    <w:tmpl w:val="FAB477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59763A65"/>
    <w:multiLevelType w:val="multilevel"/>
    <w:tmpl w:val="035897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9" w15:restartNumberingAfterBreak="0">
    <w:nsid w:val="59EE46DD"/>
    <w:multiLevelType w:val="multilevel"/>
    <w:tmpl w:val="B5D09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0" w15:restartNumberingAfterBreak="0">
    <w:nsid w:val="59F672A1"/>
    <w:multiLevelType w:val="hybridMultilevel"/>
    <w:tmpl w:val="118431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5A042368"/>
    <w:multiLevelType w:val="hybridMultilevel"/>
    <w:tmpl w:val="78D4FD46"/>
    <w:lvl w:ilvl="0" w:tplc="D9C882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18AEE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A401C1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59A5A0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6A3E57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9608526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7BB2E47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61FEE5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1F1AA1A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2" w15:restartNumberingAfterBreak="0">
    <w:nsid w:val="5AF35F43"/>
    <w:multiLevelType w:val="multilevel"/>
    <w:tmpl w:val="0D8ABE32"/>
    <w:numStyleLink w:val="VariantaB-sla"/>
  </w:abstractNum>
  <w:abstractNum w:abstractNumId="173" w15:restartNumberingAfterBreak="0">
    <w:nsid w:val="5B993398"/>
    <w:multiLevelType w:val="hybridMultilevel"/>
    <w:tmpl w:val="2842EF8E"/>
    <w:lvl w:ilvl="0" w:tplc="E078FF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4E30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F881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3418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6003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FCC7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FE28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E56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202A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5C7C41A4"/>
    <w:multiLevelType w:val="hybridMultilevel"/>
    <w:tmpl w:val="F46A2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5CE87E99"/>
    <w:multiLevelType w:val="hybridMultilevel"/>
    <w:tmpl w:val="2E142642"/>
    <w:lvl w:ilvl="0" w:tplc="547C6A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2C0ED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28DE13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28303F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8F7AB1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FF227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20AB5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E4AC5B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6827E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6" w15:restartNumberingAfterBreak="0">
    <w:nsid w:val="5D5A0642"/>
    <w:multiLevelType w:val="hybridMultilevel"/>
    <w:tmpl w:val="BA8032FC"/>
    <w:lvl w:ilvl="0" w:tplc="51662F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5E7F7455"/>
    <w:multiLevelType w:val="hybridMultilevel"/>
    <w:tmpl w:val="4BE282B8"/>
    <w:lvl w:ilvl="0" w:tplc="451A8C22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5EC43FE5"/>
    <w:multiLevelType w:val="hybridMultilevel"/>
    <w:tmpl w:val="96C0B4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5F191C2D"/>
    <w:multiLevelType w:val="hybridMultilevel"/>
    <w:tmpl w:val="4680EA1A"/>
    <w:lvl w:ilvl="0" w:tplc="6C683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380DB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3A3E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124F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D0B5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1E09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86B0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A610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5F3821B3"/>
    <w:multiLevelType w:val="hybridMultilevel"/>
    <w:tmpl w:val="1402FE0E"/>
    <w:lvl w:ilvl="0" w:tplc="9534578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4C2FF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5A9E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180E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482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6C6C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329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5CE0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40A0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5F632349"/>
    <w:multiLevelType w:val="hybridMultilevel"/>
    <w:tmpl w:val="CF848F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07822A2"/>
    <w:multiLevelType w:val="hybridMultilevel"/>
    <w:tmpl w:val="9DA41B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60BC696E"/>
    <w:multiLevelType w:val="hybridMultilevel"/>
    <w:tmpl w:val="D2B01F9E"/>
    <w:lvl w:ilvl="0" w:tplc="366ACE32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4" w15:restartNumberingAfterBreak="0">
    <w:nsid w:val="61F24831"/>
    <w:multiLevelType w:val="hybridMultilevel"/>
    <w:tmpl w:val="78D4FD46"/>
    <w:lvl w:ilvl="0" w:tplc="5060F2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C7C25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D401FA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EB7C7F7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6A68B9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E3A8359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B32ADF3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AAB67D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D146270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5" w15:restartNumberingAfterBreak="0">
    <w:nsid w:val="63CC5FB6"/>
    <w:multiLevelType w:val="hybridMultilevel"/>
    <w:tmpl w:val="49DE5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64834C75"/>
    <w:multiLevelType w:val="hybridMultilevel"/>
    <w:tmpl w:val="BD3AFD6C"/>
    <w:lvl w:ilvl="0" w:tplc="02B078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64AF6A46"/>
    <w:multiLevelType w:val="multilevel"/>
    <w:tmpl w:val="A3F6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8" w15:restartNumberingAfterBreak="0">
    <w:nsid w:val="6563513C"/>
    <w:multiLevelType w:val="hybridMultilevel"/>
    <w:tmpl w:val="41B8B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66AE6AC8"/>
    <w:multiLevelType w:val="hybridMultilevel"/>
    <w:tmpl w:val="63AC32AE"/>
    <w:lvl w:ilvl="0" w:tplc="A244A40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 w15:restartNumberingAfterBreak="0">
    <w:nsid w:val="66CC7AF2"/>
    <w:multiLevelType w:val="hybridMultilevel"/>
    <w:tmpl w:val="809C6756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8850541"/>
    <w:multiLevelType w:val="hybridMultilevel"/>
    <w:tmpl w:val="90C2F1B6"/>
    <w:lvl w:ilvl="0" w:tplc="B2D070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688577FF"/>
    <w:multiLevelType w:val="hybridMultilevel"/>
    <w:tmpl w:val="87D45D38"/>
    <w:lvl w:ilvl="0" w:tplc="B29C7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8E98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9CB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A13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7CFC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5294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C443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6C8C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627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68D5738B"/>
    <w:multiLevelType w:val="multilevel"/>
    <w:tmpl w:val="EA3A785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68E31454"/>
    <w:multiLevelType w:val="hybridMultilevel"/>
    <w:tmpl w:val="0AA6C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69B6478F"/>
    <w:multiLevelType w:val="hybridMultilevel"/>
    <w:tmpl w:val="E42623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69C61886"/>
    <w:multiLevelType w:val="hybridMultilevel"/>
    <w:tmpl w:val="5FE8DF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6A3C547A"/>
    <w:multiLevelType w:val="hybridMultilevel"/>
    <w:tmpl w:val="A02C5E7E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B5B8F104">
      <w:start w:val="1"/>
      <w:numFmt w:val="bullet"/>
      <w:lvlText w:val="-"/>
      <w:lvlJc w:val="left"/>
      <w:pPr>
        <w:ind w:left="2148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8" w15:restartNumberingAfterBreak="0">
    <w:nsid w:val="6AE76B83"/>
    <w:multiLevelType w:val="hybridMultilevel"/>
    <w:tmpl w:val="4AFE64E2"/>
    <w:lvl w:ilvl="0" w:tplc="333017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6A87A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116C8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E38E73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6EEBA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27F8B7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608D4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802A0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C1A27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9" w15:restartNumberingAfterBreak="0">
    <w:nsid w:val="6B377A94"/>
    <w:multiLevelType w:val="hybridMultilevel"/>
    <w:tmpl w:val="39806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6C1821B5"/>
    <w:multiLevelType w:val="hybridMultilevel"/>
    <w:tmpl w:val="C6762262"/>
    <w:lvl w:ilvl="0" w:tplc="040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01" w15:restartNumberingAfterBreak="0">
    <w:nsid w:val="6C386F69"/>
    <w:multiLevelType w:val="hybridMultilevel"/>
    <w:tmpl w:val="9FF61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6C413E15"/>
    <w:multiLevelType w:val="multilevel"/>
    <w:tmpl w:val="D6C4B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3" w15:restartNumberingAfterBreak="0">
    <w:nsid w:val="6C960A49"/>
    <w:multiLevelType w:val="hybridMultilevel"/>
    <w:tmpl w:val="92B6F3E6"/>
    <w:lvl w:ilvl="0" w:tplc="4C2CB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4049D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34C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4C7C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46B1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609F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40CE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5C48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5ECE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6DAC25BB"/>
    <w:multiLevelType w:val="hybridMultilevel"/>
    <w:tmpl w:val="7E54E13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5" w15:restartNumberingAfterBreak="0">
    <w:nsid w:val="6FF972DF"/>
    <w:multiLevelType w:val="hybridMultilevel"/>
    <w:tmpl w:val="092660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70B9491F"/>
    <w:multiLevelType w:val="multilevel"/>
    <w:tmpl w:val="FD3CA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7" w15:restartNumberingAfterBreak="0">
    <w:nsid w:val="71481EFA"/>
    <w:multiLevelType w:val="multilevel"/>
    <w:tmpl w:val="312832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8" w15:restartNumberingAfterBreak="0">
    <w:nsid w:val="71E404A0"/>
    <w:multiLevelType w:val="hybridMultilevel"/>
    <w:tmpl w:val="2188D572"/>
    <w:lvl w:ilvl="0" w:tplc="EE50357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72172937"/>
    <w:multiLevelType w:val="hybridMultilevel"/>
    <w:tmpl w:val="AC0E4740"/>
    <w:lvl w:ilvl="0" w:tplc="D466C2EE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DB4C9F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C88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382A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B086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A4EFC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28DC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0E57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DAB3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725D2FB0"/>
    <w:multiLevelType w:val="hybridMultilevel"/>
    <w:tmpl w:val="64DCD89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1" w15:restartNumberingAfterBreak="0">
    <w:nsid w:val="749F4D87"/>
    <w:multiLevelType w:val="hybridMultilevel"/>
    <w:tmpl w:val="09F41F2C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12" w15:restartNumberingAfterBreak="0">
    <w:nsid w:val="74AF29F5"/>
    <w:multiLevelType w:val="hybridMultilevel"/>
    <w:tmpl w:val="CBC4A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74C4660B"/>
    <w:multiLevelType w:val="hybridMultilevel"/>
    <w:tmpl w:val="6B728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4F36579"/>
    <w:multiLevelType w:val="hybridMultilevel"/>
    <w:tmpl w:val="527482C8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5" w15:restartNumberingAfterBreak="0">
    <w:nsid w:val="752E3C6C"/>
    <w:multiLevelType w:val="multilevel"/>
    <w:tmpl w:val="9778694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6" w15:restartNumberingAfterBreak="0">
    <w:nsid w:val="754F1B74"/>
    <w:multiLevelType w:val="hybridMultilevel"/>
    <w:tmpl w:val="CC183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 w15:restartNumberingAfterBreak="0">
    <w:nsid w:val="75A17727"/>
    <w:multiLevelType w:val="hybridMultilevel"/>
    <w:tmpl w:val="E15ABA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772930D3"/>
    <w:multiLevelType w:val="hybridMultilevel"/>
    <w:tmpl w:val="B8867414"/>
    <w:lvl w:ilvl="0" w:tplc="911C50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2E3E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34B0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E81F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C435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969D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F24A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DABD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28E9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9" w15:restartNumberingAfterBreak="0">
    <w:nsid w:val="77316BB7"/>
    <w:multiLevelType w:val="hybridMultilevel"/>
    <w:tmpl w:val="381CEF9E"/>
    <w:lvl w:ilvl="0" w:tplc="26864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F494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BE92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3468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006E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EEAE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0EC4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80FF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B85B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78E94296"/>
    <w:multiLevelType w:val="hybridMultilevel"/>
    <w:tmpl w:val="7CE2562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79F92338"/>
    <w:multiLevelType w:val="hybridMultilevel"/>
    <w:tmpl w:val="78D4FD46"/>
    <w:lvl w:ilvl="0" w:tplc="E03048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73E07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7F6926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30E2BDB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E5DAA0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826CEB1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03E0270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62023C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CB60AF8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2" w15:restartNumberingAfterBreak="0">
    <w:nsid w:val="7C075D81"/>
    <w:multiLevelType w:val="hybridMultilevel"/>
    <w:tmpl w:val="F3D021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7C4E105E"/>
    <w:multiLevelType w:val="hybridMultilevel"/>
    <w:tmpl w:val="2C76334C"/>
    <w:lvl w:ilvl="0" w:tplc="7634221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4" w15:restartNumberingAfterBreak="0">
    <w:nsid w:val="7CC032FF"/>
    <w:multiLevelType w:val="hybridMultilevel"/>
    <w:tmpl w:val="48066D8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5" w15:restartNumberingAfterBreak="0">
    <w:nsid w:val="7D527377"/>
    <w:multiLevelType w:val="hybridMultilevel"/>
    <w:tmpl w:val="9D3A46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7DAD1B12"/>
    <w:multiLevelType w:val="multilevel"/>
    <w:tmpl w:val="555E4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7DEE61B0"/>
    <w:multiLevelType w:val="multilevel"/>
    <w:tmpl w:val="AD4A66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8" w15:restartNumberingAfterBreak="0">
    <w:nsid w:val="7EC05A0A"/>
    <w:multiLevelType w:val="hybridMultilevel"/>
    <w:tmpl w:val="0BAAF4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7ED75EB5"/>
    <w:multiLevelType w:val="hybridMultilevel"/>
    <w:tmpl w:val="297AAA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 w15:restartNumberingAfterBreak="0">
    <w:nsid w:val="7EF5504A"/>
    <w:multiLevelType w:val="hybridMultilevel"/>
    <w:tmpl w:val="E86C07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7F594298"/>
    <w:multiLevelType w:val="hybridMultilevel"/>
    <w:tmpl w:val="04EE7828"/>
    <w:lvl w:ilvl="0" w:tplc="F0CA0E6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26E3576">
      <w:start w:val="1"/>
      <w:numFmt w:val="lowerLetter"/>
      <w:lvlText w:val="%2."/>
      <w:lvlJc w:val="left"/>
      <w:pPr>
        <w:ind w:left="1080" w:hanging="360"/>
      </w:pPr>
    </w:lvl>
    <w:lvl w:ilvl="2" w:tplc="6958BEB2">
      <w:start w:val="1"/>
      <w:numFmt w:val="lowerRoman"/>
      <w:lvlText w:val="%3."/>
      <w:lvlJc w:val="right"/>
      <w:pPr>
        <w:ind w:left="1800" w:hanging="180"/>
      </w:pPr>
    </w:lvl>
    <w:lvl w:ilvl="3" w:tplc="46324950">
      <w:start w:val="1"/>
      <w:numFmt w:val="decimal"/>
      <w:lvlText w:val="%4."/>
      <w:lvlJc w:val="left"/>
      <w:pPr>
        <w:ind w:left="2520" w:hanging="360"/>
      </w:pPr>
    </w:lvl>
    <w:lvl w:ilvl="4" w:tplc="0936B0A4">
      <w:start w:val="1"/>
      <w:numFmt w:val="lowerLetter"/>
      <w:lvlText w:val="%5."/>
      <w:lvlJc w:val="left"/>
      <w:pPr>
        <w:ind w:left="3240" w:hanging="360"/>
      </w:pPr>
    </w:lvl>
    <w:lvl w:ilvl="5" w:tplc="F078E396">
      <w:start w:val="1"/>
      <w:numFmt w:val="lowerRoman"/>
      <w:lvlText w:val="%6."/>
      <w:lvlJc w:val="right"/>
      <w:pPr>
        <w:ind w:left="3960" w:hanging="180"/>
      </w:pPr>
    </w:lvl>
    <w:lvl w:ilvl="6" w:tplc="8A3A38DA">
      <w:start w:val="1"/>
      <w:numFmt w:val="decimal"/>
      <w:lvlText w:val="%7."/>
      <w:lvlJc w:val="left"/>
      <w:pPr>
        <w:ind w:left="4680" w:hanging="360"/>
      </w:pPr>
    </w:lvl>
    <w:lvl w:ilvl="7" w:tplc="541E99AA">
      <w:start w:val="1"/>
      <w:numFmt w:val="lowerLetter"/>
      <w:lvlText w:val="%8."/>
      <w:lvlJc w:val="left"/>
      <w:pPr>
        <w:ind w:left="5400" w:hanging="360"/>
      </w:pPr>
    </w:lvl>
    <w:lvl w:ilvl="8" w:tplc="7C3229FA">
      <w:start w:val="1"/>
      <w:numFmt w:val="lowerRoman"/>
      <w:lvlText w:val="%9."/>
      <w:lvlJc w:val="right"/>
      <w:pPr>
        <w:ind w:left="6120" w:hanging="180"/>
      </w:pPr>
    </w:lvl>
  </w:abstractNum>
  <w:abstractNum w:abstractNumId="232" w15:restartNumberingAfterBreak="0">
    <w:nsid w:val="7F786EDC"/>
    <w:multiLevelType w:val="hybridMultilevel"/>
    <w:tmpl w:val="87D2E7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164"/>
  </w:num>
  <w:num w:numId="3">
    <w:abstractNumId w:val="150"/>
  </w:num>
  <w:num w:numId="4">
    <w:abstractNumId w:val="6"/>
  </w:num>
  <w:num w:numId="5">
    <w:abstractNumId w:val="172"/>
  </w:num>
  <w:num w:numId="6">
    <w:abstractNumId w:val="79"/>
  </w:num>
  <w:num w:numId="7">
    <w:abstractNumId w:val="51"/>
  </w:num>
  <w:num w:numId="8">
    <w:abstractNumId w:val="41"/>
  </w:num>
  <w:num w:numId="9">
    <w:abstractNumId w:val="71"/>
  </w:num>
  <w:num w:numId="10">
    <w:abstractNumId w:val="45"/>
  </w:num>
  <w:num w:numId="11">
    <w:abstractNumId w:val="45"/>
    <w:lvlOverride w:ilvl="0">
      <w:lvl w:ilvl="0">
        <w:start w:val="1"/>
        <w:numFmt w:val="none"/>
        <w:pStyle w:val="Nadpis1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1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2">
    <w:abstractNumId w:val="114"/>
  </w:num>
  <w:num w:numId="13">
    <w:abstractNumId w:val="147"/>
  </w:num>
  <w:num w:numId="14">
    <w:abstractNumId w:val="159"/>
  </w:num>
  <w:num w:numId="15">
    <w:abstractNumId w:val="92"/>
  </w:num>
  <w:num w:numId="16">
    <w:abstractNumId w:val="93"/>
  </w:num>
  <w:num w:numId="17">
    <w:abstractNumId w:val="42"/>
  </w:num>
  <w:num w:numId="18">
    <w:abstractNumId w:val="188"/>
  </w:num>
  <w:num w:numId="19">
    <w:abstractNumId w:val="70"/>
  </w:num>
  <w:num w:numId="20">
    <w:abstractNumId w:val="195"/>
  </w:num>
  <w:num w:numId="21">
    <w:abstractNumId w:val="4"/>
  </w:num>
  <w:num w:numId="22">
    <w:abstractNumId w:val="5"/>
  </w:num>
  <w:num w:numId="23">
    <w:abstractNumId w:val="225"/>
  </w:num>
  <w:num w:numId="24">
    <w:abstractNumId w:val="85"/>
  </w:num>
  <w:num w:numId="25">
    <w:abstractNumId w:val="3"/>
  </w:num>
  <w:num w:numId="26">
    <w:abstractNumId w:val="203"/>
  </w:num>
  <w:num w:numId="27">
    <w:abstractNumId w:val="180"/>
  </w:num>
  <w:num w:numId="28">
    <w:abstractNumId w:val="1"/>
  </w:num>
  <w:num w:numId="29">
    <w:abstractNumId w:val="197"/>
  </w:num>
  <w:num w:numId="30">
    <w:abstractNumId w:val="161"/>
  </w:num>
  <w:num w:numId="31">
    <w:abstractNumId w:val="48"/>
  </w:num>
  <w:num w:numId="32">
    <w:abstractNumId w:val="100"/>
  </w:num>
  <w:num w:numId="33">
    <w:abstractNumId w:val="52"/>
  </w:num>
  <w:num w:numId="34">
    <w:abstractNumId w:val="7"/>
  </w:num>
  <w:num w:numId="35">
    <w:abstractNumId w:val="77"/>
  </w:num>
  <w:num w:numId="36">
    <w:abstractNumId w:val="110"/>
  </w:num>
  <w:num w:numId="37">
    <w:abstractNumId w:val="227"/>
  </w:num>
  <w:num w:numId="38">
    <w:abstractNumId w:val="84"/>
  </w:num>
  <w:num w:numId="39">
    <w:abstractNumId w:val="21"/>
  </w:num>
  <w:num w:numId="40">
    <w:abstractNumId w:val="28"/>
  </w:num>
  <w:num w:numId="41">
    <w:abstractNumId w:val="215"/>
  </w:num>
  <w:num w:numId="42">
    <w:abstractNumId w:val="60"/>
  </w:num>
  <w:num w:numId="43">
    <w:abstractNumId w:val="63"/>
  </w:num>
  <w:num w:numId="44">
    <w:abstractNumId w:val="137"/>
  </w:num>
  <w:num w:numId="45">
    <w:abstractNumId w:val="226"/>
  </w:num>
  <w:num w:numId="46">
    <w:abstractNumId w:val="193"/>
  </w:num>
  <w:num w:numId="47">
    <w:abstractNumId w:val="207"/>
  </w:num>
  <w:num w:numId="48">
    <w:abstractNumId w:val="46"/>
  </w:num>
  <w:num w:numId="49">
    <w:abstractNumId w:val="109"/>
  </w:num>
  <w:num w:numId="50">
    <w:abstractNumId w:val="142"/>
  </w:num>
  <w:num w:numId="51">
    <w:abstractNumId w:val="126"/>
  </w:num>
  <w:num w:numId="52">
    <w:abstractNumId w:val="89"/>
  </w:num>
  <w:num w:numId="53">
    <w:abstractNumId w:val="170"/>
  </w:num>
  <w:num w:numId="54">
    <w:abstractNumId w:val="165"/>
  </w:num>
  <w:num w:numId="55">
    <w:abstractNumId w:val="153"/>
  </w:num>
  <w:num w:numId="56">
    <w:abstractNumId w:val="35"/>
  </w:num>
  <w:num w:numId="57">
    <w:abstractNumId w:val="99"/>
  </w:num>
  <w:num w:numId="58">
    <w:abstractNumId w:val="27"/>
  </w:num>
  <w:num w:numId="59">
    <w:abstractNumId w:val="30"/>
  </w:num>
  <w:num w:numId="60">
    <w:abstractNumId w:val="228"/>
  </w:num>
  <w:num w:numId="61">
    <w:abstractNumId w:val="44"/>
  </w:num>
  <w:num w:numId="62">
    <w:abstractNumId w:val="191"/>
  </w:num>
  <w:num w:numId="63">
    <w:abstractNumId w:val="10"/>
  </w:num>
  <w:num w:numId="64">
    <w:abstractNumId w:val="53"/>
  </w:num>
  <w:num w:numId="65">
    <w:abstractNumId w:val="50"/>
  </w:num>
  <w:num w:numId="66">
    <w:abstractNumId w:val="139"/>
  </w:num>
  <w:num w:numId="67">
    <w:abstractNumId w:val="120"/>
  </w:num>
  <w:num w:numId="68">
    <w:abstractNumId w:val="54"/>
  </w:num>
  <w:num w:numId="69">
    <w:abstractNumId w:val="38"/>
  </w:num>
  <w:num w:numId="70">
    <w:abstractNumId w:val="118"/>
  </w:num>
  <w:num w:numId="71">
    <w:abstractNumId w:val="210"/>
  </w:num>
  <w:num w:numId="72">
    <w:abstractNumId w:val="119"/>
  </w:num>
  <w:num w:numId="73">
    <w:abstractNumId w:val="33"/>
  </w:num>
  <w:num w:numId="74">
    <w:abstractNumId w:val="116"/>
  </w:num>
  <w:num w:numId="75">
    <w:abstractNumId w:val="182"/>
  </w:num>
  <w:num w:numId="76">
    <w:abstractNumId w:val="154"/>
  </w:num>
  <w:num w:numId="77">
    <w:abstractNumId w:val="104"/>
  </w:num>
  <w:num w:numId="78">
    <w:abstractNumId w:val="124"/>
  </w:num>
  <w:num w:numId="79">
    <w:abstractNumId w:val="75"/>
  </w:num>
  <w:num w:numId="80">
    <w:abstractNumId w:val="128"/>
  </w:num>
  <w:num w:numId="81">
    <w:abstractNumId w:val="115"/>
  </w:num>
  <w:num w:numId="82">
    <w:abstractNumId w:val="23"/>
  </w:num>
  <w:num w:numId="83">
    <w:abstractNumId w:val="1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56"/>
  </w:num>
  <w:num w:numId="85">
    <w:abstractNumId w:val="131"/>
  </w:num>
  <w:num w:numId="86">
    <w:abstractNumId w:val="113"/>
  </w:num>
  <w:num w:numId="87">
    <w:abstractNumId w:val="86"/>
  </w:num>
  <w:num w:numId="88">
    <w:abstractNumId w:val="183"/>
  </w:num>
  <w:num w:numId="89">
    <w:abstractNumId w:val="122"/>
  </w:num>
  <w:num w:numId="90">
    <w:abstractNumId w:val="219"/>
  </w:num>
  <w:num w:numId="91">
    <w:abstractNumId w:val="173"/>
  </w:num>
  <w:num w:numId="92">
    <w:abstractNumId w:val="19"/>
  </w:num>
  <w:num w:numId="93">
    <w:abstractNumId w:val="105"/>
  </w:num>
  <w:num w:numId="94">
    <w:abstractNumId w:val="78"/>
  </w:num>
  <w:num w:numId="95">
    <w:abstractNumId w:val="175"/>
  </w:num>
  <w:num w:numId="96">
    <w:abstractNumId w:val="8"/>
  </w:num>
  <w:num w:numId="97">
    <w:abstractNumId w:val="141"/>
  </w:num>
  <w:num w:numId="98">
    <w:abstractNumId w:val="97"/>
  </w:num>
  <w:num w:numId="99">
    <w:abstractNumId w:val="125"/>
  </w:num>
  <w:num w:numId="100">
    <w:abstractNumId w:val="123"/>
  </w:num>
  <w:num w:numId="101">
    <w:abstractNumId w:val="67"/>
  </w:num>
  <w:num w:numId="102">
    <w:abstractNumId w:val="9"/>
  </w:num>
  <w:num w:numId="103">
    <w:abstractNumId w:val="66"/>
  </w:num>
  <w:num w:numId="104">
    <w:abstractNumId w:val="160"/>
  </w:num>
  <w:num w:numId="105">
    <w:abstractNumId w:val="96"/>
  </w:num>
  <w:num w:numId="106">
    <w:abstractNumId w:val="158"/>
  </w:num>
  <w:num w:numId="107">
    <w:abstractNumId w:val="34"/>
  </w:num>
  <w:num w:numId="108">
    <w:abstractNumId w:val="13"/>
  </w:num>
  <w:num w:numId="109">
    <w:abstractNumId w:val="107"/>
  </w:num>
  <w:num w:numId="110">
    <w:abstractNumId w:val="231"/>
  </w:num>
  <w:num w:numId="111">
    <w:abstractNumId w:val="146"/>
  </w:num>
  <w:num w:numId="112">
    <w:abstractNumId w:val="73"/>
  </w:num>
  <w:num w:numId="113">
    <w:abstractNumId w:val="14"/>
  </w:num>
  <w:num w:numId="114">
    <w:abstractNumId w:val="133"/>
  </w:num>
  <w:num w:numId="115">
    <w:abstractNumId w:val="209"/>
  </w:num>
  <w:num w:numId="116">
    <w:abstractNumId w:val="218"/>
  </w:num>
  <w:num w:numId="117">
    <w:abstractNumId w:val="127"/>
  </w:num>
  <w:num w:numId="118">
    <w:abstractNumId w:val="143"/>
  </w:num>
  <w:num w:numId="119">
    <w:abstractNumId w:val="25"/>
  </w:num>
  <w:num w:numId="120">
    <w:abstractNumId w:val="24"/>
  </w:num>
  <w:num w:numId="121">
    <w:abstractNumId w:val="222"/>
  </w:num>
  <w:num w:numId="122">
    <w:abstractNumId w:val="181"/>
  </w:num>
  <w:num w:numId="123">
    <w:abstractNumId w:val="212"/>
  </w:num>
  <w:num w:numId="124">
    <w:abstractNumId w:val="186"/>
  </w:num>
  <w:num w:numId="125">
    <w:abstractNumId w:val="101"/>
  </w:num>
  <w:num w:numId="126">
    <w:abstractNumId w:val="20"/>
  </w:num>
  <w:num w:numId="127">
    <w:abstractNumId w:val="81"/>
  </w:num>
  <w:num w:numId="128">
    <w:abstractNumId w:val="178"/>
  </w:num>
  <w:num w:numId="129">
    <w:abstractNumId w:val="76"/>
  </w:num>
  <w:num w:numId="130">
    <w:abstractNumId w:val="58"/>
  </w:num>
  <w:num w:numId="131">
    <w:abstractNumId w:val="176"/>
  </w:num>
  <w:num w:numId="132">
    <w:abstractNumId w:val="138"/>
  </w:num>
  <w:num w:numId="133">
    <w:abstractNumId w:val="229"/>
  </w:num>
  <w:num w:numId="134">
    <w:abstractNumId w:val="98"/>
  </w:num>
  <w:num w:numId="135">
    <w:abstractNumId w:val="232"/>
  </w:num>
  <w:num w:numId="136">
    <w:abstractNumId w:val="61"/>
  </w:num>
  <w:num w:numId="137">
    <w:abstractNumId w:val="230"/>
  </w:num>
  <w:num w:numId="138">
    <w:abstractNumId w:val="83"/>
  </w:num>
  <w:num w:numId="139">
    <w:abstractNumId w:val="32"/>
  </w:num>
  <w:num w:numId="140">
    <w:abstractNumId w:val="16"/>
  </w:num>
  <w:num w:numId="141">
    <w:abstractNumId w:val="132"/>
  </w:num>
  <w:num w:numId="142">
    <w:abstractNumId w:val="167"/>
  </w:num>
  <w:num w:numId="143">
    <w:abstractNumId w:val="12"/>
  </w:num>
  <w:num w:numId="144">
    <w:abstractNumId w:val="39"/>
  </w:num>
  <w:num w:numId="145">
    <w:abstractNumId w:val="185"/>
  </w:num>
  <w:num w:numId="146">
    <w:abstractNumId w:val="204"/>
  </w:num>
  <w:num w:numId="147">
    <w:abstractNumId w:val="149"/>
  </w:num>
  <w:num w:numId="148">
    <w:abstractNumId w:val="144"/>
  </w:num>
  <w:num w:numId="149">
    <w:abstractNumId w:val="59"/>
  </w:num>
  <w:num w:numId="150">
    <w:abstractNumId w:val="152"/>
  </w:num>
  <w:num w:numId="151">
    <w:abstractNumId w:val="224"/>
  </w:num>
  <w:num w:numId="152">
    <w:abstractNumId w:val="55"/>
  </w:num>
  <w:num w:numId="153">
    <w:abstractNumId w:val="201"/>
  </w:num>
  <w:num w:numId="154">
    <w:abstractNumId w:val="90"/>
  </w:num>
  <w:num w:numId="155">
    <w:abstractNumId w:val="68"/>
  </w:num>
  <w:num w:numId="156">
    <w:abstractNumId w:val="106"/>
  </w:num>
  <w:num w:numId="157">
    <w:abstractNumId w:val="135"/>
  </w:num>
  <w:num w:numId="158">
    <w:abstractNumId w:val="26"/>
  </w:num>
  <w:num w:numId="159">
    <w:abstractNumId w:val="91"/>
  </w:num>
  <w:num w:numId="160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211"/>
  </w:num>
  <w:num w:numId="162">
    <w:abstractNumId w:val="151"/>
  </w:num>
  <w:num w:numId="163">
    <w:abstractNumId w:val="208"/>
  </w:num>
  <w:num w:numId="164">
    <w:abstractNumId w:val="199"/>
  </w:num>
  <w:num w:numId="165">
    <w:abstractNumId w:val="80"/>
  </w:num>
  <w:num w:numId="166">
    <w:abstractNumId w:val="168"/>
  </w:num>
  <w:num w:numId="167">
    <w:abstractNumId w:val="82"/>
  </w:num>
  <w:num w:numId="168">
    <w:abstractNumId w:val="69"/>
  </w:num>
  <w:num w:numId="169">
    <w:abstractNumId w:val="166"/>
  </w:num>
  <w:num w:numId="170">
    <w:abstractNumId w:val="129"/>
  </w:num>
  <w:num w:numId="171">
    <w:abstractNumId w:val="174"/>
  </w:num>
  <w:num w:numId="172">
    <w:abstractNumId w:val="220"/>
  </w:num>
  <w:num w:numId="173">
    <w:abstractNumId w:val="189"/>
  </w:num>
  <w:num w:numId="174">
    <w:abstractNumId w:val="2"/>
  </w:num>
  <w:num w:numId="175">
    <w:abstractNumId w:val="74"/>
  </w:num>
  <w:num w:numId="176">
    <w:abstractNumId w:val="134"/>
  </w:num>
  <w:num w:numId="177">
    <w:abstractNumId w:val="148"/>
  </w:num>
  <w:num w:numId="178">
    <w:abstractNumId w:val="156"/>
  </w:num>
  <w:num w:numId="179">
    <w:abstractNumId w:val="108"/>
  </w:num>
  <w:num w:numId="180">
    <w:abstractNumId w:val="103"/>
  </w:num>
  <w:num w:numId="181">
    <w:abstractNumId w:val="36"/>
  </w:num>
  <w:num w:numId="182">
    <w:abstractNumId w:val="40"/>
  </w:num>
  <w:num w:numId="183">
    <w:abstractNumId w:val="190"/>
  </w:num>
  <w:num w:numId="184">
    <w:abstractNumId w:val="213"/>
  </w:num>
  <w:num w:numId="185">
    <w:abstractNumId w:val="136"/>
  </w:num>
  <w:num w:numId="186">
    <w:abstractNumId w:val="196"/>
  </w:num>
  <w:num w:numId="187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65"/>
  </w:num>
  <w:num w:numId="190">
    <w:abstractNumId w:val="94"/>
  </w:num>
  <w:num w:numId="191">
    <w:abstractNumId w:val="217"/>
  </w:num>
  <w:num w:numId="192">
    <w:abstractNumId w:val="102"/>
  </w:num>
  <w:num w:numId="193">
    <w:abstractNumId w:val="130"/>
  </w:num>
  <w:num w:numId="194">
    <w:abstractNumId w:val="223"/>
  </w:num>
  <w:num w:numId="195">
    <w:abstractNumId w:val="57"/>
  </w:num>
  <w:num w:numId="196">
    <w:abstractNumId w:val="11"/>
  </w:num>
  <w:num w:numId="197">
    <w:abstractNumId w:val="64"/>
  </w:num>
  <w:num w:numId="198">
    <w:abstractNumId w:val="202"/>
  </w:num>
  <w:num w:numId="199">
    <w:abstractNumId w:val="111"/>
  </w:num>
  <w:num w:numId="200">
    <w:abstractNumId w:val="198"/>
  </w:num>
  <w:num w:numId="201">
    <w:abstractNumId w:val="206"/>
  </w:num>
  <w:num w:numId="202">
    <w:abstractNumId w:val="17"/>
  </w:num>
  <w:num w:numId="203">
    <w:abstractNumId w:val="49"/>
  </w:num>
  <w:num w:numId="204">
    <w:abstractNumId w:val="145"/>
  </w:num>
  <w:num w:numId="205">
    <w:abstractNumId w:val="184"/>
  </w:num>
  <w:num w:numId="206">
    <w:abstractNumId w:val="163"/>
  </w:num>
  <w:num w:numId="207">
    <w:abstractNumId w:val="221"/>
  </w:num>
  <w:num w:numId="208">
    <w:abstractNumId w:val="171"/>
  </w:num>
  <w:num w:numId="209">
    <w:abstractNumId w:val="18"/>
  </w:num>
  <w:num w:numId="210">
    <w:abstractNumId w:val="214"/>
  </w:num>
  <w:num w:numId="211">
    <w:abstractNumId w:val="200"/>
  </w:num>
  <w:num w:numId="212">
    <w:abstractNumId w:val="194"/>
  </w:num>
  <w:num w:numId="213">
    <w:abstractNumId w:val="155"/>
  </w:num>
  <w:num w:numId="214">
    <w:abstractNumId w:val="62"/>
  </w:num>
  <w:num w:numId="215">
    <w:abstractNumId w:val="140"/>
  </w:num>
  <w:num w:numId="216">
    <w:abstractNumId w:val="216"/>
  </w:num>
  <w:num w:numId="217">
    <w:abstractNumId w:val="31"/>
  </w:num>
  <w:num w:numId="218">
    <w:abstractNumId w:val="112"/>
  </w:num>
  <w:num w:numId="219">
    <w:abstractNumId w:val="169"/>
  </w:num>
  <w:num w:numId="220">
    <w:abstractNumId w:val="187"/>
  </w:num>
  <w:num w:numId="221">
    <w:abstractNumId w:val="15"/>
  </w:num>
  <w:num w:numId="222">
    <w:abstractNumId w:val="37"/>
  </w:num>
  <w:num w:numId="223">
    <w:abstractNumId w:val="205"/>
  </w:num>
  <w:num w:numId="224">
    <w:abstractNumId w:val="22"/>
  </w:num>
  <w:num w:numId="225">
    <w:abstractNumId w:val="43"/>
  </w:num>
  <w:num w:numId="226">
    <w:abstractNumId w:val="179"/>
  </w:num>
  <w:num w:numId="227">
    <w:abstractNumId w:val="192"/>
  </w:num>
  <w:num w:numId="228">
    <w:abstractNumId w:val="88"/>
  </w:num>
  <w:num w:numId="229">
    <w:abstractNumId w:val="157"/>
  </w:num>
  <w:num w:numId="230">
    <w:abstractNumId w:val="117"/>
  </w:num>
  <w:num w:numId="231">
    <w:abstractNumId w:val="45"/>
  </w:num>
  <w:num w:numId="232">
    <w:abstractNumId w:val="0"/>
  </w:num>
  <w:num w:numId="233">
    <w:abstractNumId w:val="95"/>
  </w:num>
  <w:num w:numId="234">
    <w:abstractNumId w:val="87"/>
  </w:num>
  <w:num w:numId="235">
    <w:abstractNumId w:val="162"/>
  </w:num>
  <w:num w:numId="236">
    <w:abstractNumId w:val="121"/>
  </w:num>
  <w:num w:numId="237">
    <w:abstractNumId w:val="72"/>
  </w:num>
  <w:numIdMacAtCleanup w:val="2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proofState w:spelling="clean" w:grammar="clean"/>
  <w:attachedTemplate r:id="rId1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084"/>
    <w:rsid w:val="00011E16"/>
    <w:rsid w:val="00012CEA"/>
    <w:rsid w:val="00015CE4"/>
    <w:rsid w:val="0002519F"/>
    <w:rsid w:val="0002674B"/>
    <w:rsid w:val="000304C5"/>
    <w:rsid w:val="00040430"/>
    <w:rsid w:val="0004162E"/>
    <w:rsid w:val="000460F8"/>
    <w:rsid w:val="0004786B"/>
    <w:rsid w:val="00047F03"/>
    <w:rsid w:val="00061096"/>
    <w:rsid w:val="00063405"/>
    <w:rsid w:val="00065FFD"/>
    <w:rsid w:val="000737B6"/>
    <w:rsid w:val="000809B9"/>
    <w:rsid w:val="000849E0"/>
    <w:rsid w:val="00090B40"/>
    <w:rsid w:val="000913CD"/>
    <w:rsid w:val="00095A0A"/>
    <w:rsid w:val="00096511"/>
    <w:rsid w:val="000A0730"/>
    <w:rsid w:val="000B17DB"/>
    <w:rsid w:val="000B1B3D"/>
    <w:rsid w:val="000B3E85"/>
    <w:rsid w:val="000B4961"/>
    <w:rsid w:val="000B5901"/>
    <w:rsid w:val="000C1477"/>
    <w:rsid w:val="000C1F51"/>
    <w:rsid w:val="000C4CAF"/>
    <w:rsid w:val="000D22E0"/>
    <w:rsid w:val="000D47BD"/>
    <w:rsid w:val="000E0BF4"/>
    <w:rsid w:val="000E75D3"/>
    <w:rsid w:val="000F4BF9"/>
    <w:rsid w:val="00116B80"/>
    <w:rsid w:val="00121485"/>
    <w:rsid w:val="00123A51"/>
    <w:rsid w:val="0012550F"/>
    <w:rsid w:val="00153508"/>
    <w:rsid w:val="00154EB2"/>
    <w:rsid w:val="00165A0E"/>
    <w:rsid w:val="00170074"/>
    <w:rsid w:val="00174CDE"/>
    <w:rsid w:val="0017602D"/>
    <w:rsid w:val="0018051B"/>
    <w:rsid w:val="001836E1"/>
    <w:rsid w:val="001967BB"/>
    <w:rsid w:val="001A2E96"/>
    <w:rsid w:val="001A797B"/>
    <w:rsid w:val="001B1E4A"/>
    <w:rsid w:val="001B6E21"/>
    <w:rsid w:val="001B7F39"/>
    <w:rsid w:val="001C617E"/>
    <w:rsid w:val="001D27C0"/>
    <w:rsid w:val="001E55BB"/>
    <w:rsid w:val="001E7299"/>
    <w:rsid w:val="001E74C3"/>
    <w:rsid w:val="001F6937"/>
    <w:rsid w:val="002118B6"/>
    <w:rsid w:val="00217614"/>
    <w:rsid w:val="00220DE3"/>
    <w:rsid w:val="00230123"/>
    <w:rsid w:val="00240208"/>
    <w:rsid w:val="00243E71"/>
    <w:rsid w:val="002501E0"/>
    <w:rsid w:val="0025290D"/>
    <w:rsid w:val="00253D48"/>
    <w:rsid w:val="00254FF5"/>
    <w:rsid w:val="00260372"/>
    <w:rsid w:val="00261952"/>
    <w:rsid w:val="00261C3D"/>
    <w:rsid w:val="00262DAF"/>
    <w:rsid w:val="00266EBF"/>
    <w:rsid w:val="002755A9"/>
    <w:rsid w:val="002767A9"/>
    <w:rsid w:val="00292FA2"/>
    <w:rsid w:val="002A33D2"/>
    <w:rsid w:val="002A457B"/>
    <w:rsid w:val="002A70A3"/>
    <w:rsid w:val="002B3084"/>
    <w:rsid w:val="002B4F64"/>
    <w:rsid w:val="002B50EE"/>
    <w:rsid w:val="002C00B6"/>
    <w:rsid w:val="002C0BDB"/>
    <w:rsid w:val="002D32AD"/>
    <w:rsid w:val="002D392C"/>
    <w:rsid w:val="002D4BBC"/>
    <w:rsid w:val="002E2442"/>
    <w:rsid w:val="002F0E8C"/>
    <w:rsid w:val="002F5C22"/>
    <w:rsid w:val="002F7E3D"/>
    <w:rsid w:val="00303B13"/>
    <w:rsid w:val="00310FA0"/>
    <w:rsid w:val="00320481"/>
    <w:rsid w:val="00321BA2"/>
    <w:rsid w:val="00322A36"/>
    <w:rsid w:val="003250CB"/>
    <w:rsid w:val="00341390"/>
    <w:rsid w:val="00341782"/>
    <w:rsid w:val="00343DCE"/>
    <w:rsid w:val="0034582A"/>
    <w:rsid w:val="003466D7"/>
    <w:rsid w:val="0035462C"/>
    <w:rsid w:val="003547F3"/>
    <w:rsid w:val="0035647D"/>
    <w:rsid w:val="00363201"/>
    <w:rsid w:val="003701A4"/>
    <w:rsid w:val="00375F1F"/>
    <w:rsid w:val="003763A2"/>
    <w:rsid w:val="00386254"/>
    <w:rsid w:val="0039063C"/>
    <w:rsid w:val="003A3366"/>
    <w:rsid w:val="003A46A8"/>
    <w:rsid w:val="003A7EBE"/>
    <w:rsid w:val="003B3100"/>
    <w:rsid w:val="003B565A"/>
    <w:rsid w:val="003C5414"/>
    <w:rsid w:val="003E75DA"/>
    <w:rsid w:val="003E7635"/>
    <w:rsid w:val="003F2D84"/>
    <w:rsid w:val="00400408"/>
    <w:rsid w:val="00400502"/>
    <w:rsid w:val="0040182E"/>
    <w:rsid w:val="004136D9"/>
    <w:rsid w:val="0041427F"/>
    <w:rsid w:val="0042190B"/>
    <w:rsid w:val="00422958"/>
    <w:rsid w:val="0042456E"/>
    <w:rsid w:val="00427DB0"/>
    <w:rsid w:val="00437ABA"/>
    <w:rsid w:val="004412C8"/>
    <w:rsid w:val="00443196"/>
    <w:rsid w:val="00445125"/>
    <w:rsid w:val="004467AA"/>
    <w:rsid w:val="00450492"/>
    <w:rsid w:val="004509E5"/>
    <w:rsid w:val="00455594"/>
    <w:rsid w:val="00455B67"/>
    <w:rsid w:val="00456A7C"/>
    <w:rsid w:val="004634D8"/>
    <w:rsid w:val="00475018"/>
    <w:rsid w:val="0048151C"/>
    <w:rsid w:val="0048233C"/>
    <w:rsid w:val="00482E87"/>
    <w:rsid w:val="00484068"/>
    <w:rsid w:val="0048498C"/>
    <w:rsid w:val="00486FB9"/>
    <w:rsid w:val="00495DA1"/>
    <w:rsid w:val="004A7F97"/>
    <w:rsid w:val="004B5B33"/>
    <w:rsid w:val="004B7BA8"/>
    <w:rsid w:val="004C1832"/>
    <w:rsid w:val="004C212A"/>
    <w:rsid w:val="004C2FE0"/>
    <w:rsid w:val="004C71E4"/>
    <w:rsid w:val="004D4989"/>
    <w:rsid w:val="004D7811"/>
    <w:rsid w:val="004E6EB1"/>
    <w:rsid w:val="004F3625"/>
    <w:rsid w:val="00500232"/>
    <w:rsid w:val="00504668"/>
    <w:rsid w:val="0050633D"/>
    <w:rsid w:val="00517549"/>
    <w:rsid w:val="00520B41"/>
    <w:rsid w:val="00523644"/>
    <w:rsid w:val="00524C56"/>
    <w:rsid w:val="0052746F"/>
    <w:rsid w:val="00535CE0"/>
    <w:rsid w:val="00542BB8"/>
    <w:rsid w:val="005455E1"/>
    <w:rsid w:val="005502BD"/>
    <w:rsid w:val="00556787"/>
    <w:rsid w:val="00562881"/>
    <w:rsid w:val="005943AD"/>
    <w:rsid w:val="005954D4"/>
    <w:rsid w:val="00596825"/>
    <w:rsid w:val="005A27A2"/>
    <w:rsid w:val="005A5256"/>
    <w:rsid w:val="005B2771"/>
    <w:rsid w:val="005B387A"/>
    <w:rsid w:val="005C1CD9"/>
    <w:rsid w:val="005C2560"/>
    <w:rsid w:val="005C4FB7"/>
    <w:rsid w:val="005E6AD7"/>
    <w:rsid w:val="005F526B"/>
    <w:rsid w:val="005F602A"/>
    <w:rsid w:val="005F7585"/>
    <w:rsid w:val="0060344B"/>
    <w:rsid w:val="00610C49"/>
    <w:rsid w:val="00621BB7"/>
    <w:rsid w:val="0062461C"/>
    <w:rsid w:val="00624ECB"/>
    <w:rsid w:val="00645C9D"/>
    <w:rsid w:val="00647B2D"/>
    <w:rsid w:val="00650C6C"/>
    <w:rsid w:val="00652FE6"/>
    <w:rsid w:val="00653CB9"/>
    <w:rsid w:val="00657A4A"/>
    <w:rsid w:val="00664670"/>
    <w:rsid w:val="00670468"/>
    <w:rsid w:val="00677048"/>
    <w:rsid w:val="0068437C"/>
    <w:rsid w:val="00694969"/>
    <w:rsid w:val="006B7208"/>
    <w:rsid w:val="006D04EF"/>
    <w:rsid w:val="006D3F2D"/>
    <w:rsid w:val="006D6CA9"/>
    <w:rsid w:val="006E2FB0"/>
    <w:rsid w:val="00705DC6"/>
    <w:rsid w:val="007102D2"/>
    <w:rsid w:val="00713948"/>
    <w:rsid w:val="00720D4E"/>
    <w:rsid w:val="00725693"/>
    <w:rsid w:val="00727FAA"/>
    <w:rsid w:val="0073550F"/>
    <w:rsid w:val="00746805"/>
    <w:rsid w:val="00747DD8"/>
    <w:rsid w:val="00751C89"/>
    <w:rsid w:val="00753A27"/>
    <w:rsid w:val="007546BA"/>
    <w:rsid w:val="00757A6F"/>
    <w:rsid w:val="00757EE5"/>
    <w:rsid w:val="00764B62"/>
    <w:rsid w:val="00765381"/>
    <w:rsid w:val="00765514"/>
    <w:rsid w:val="00770320"/>
    <w:rsid w:val="00772309"/>
    <w:rsid w:val="00772A1B"/>
    <w:rsid w:val="007732FC"/>
    <w:rsid w:val="0079342A"/>
    <w:rsid w:val="0079382D"/>
    <w:rsid w:val="007A7FC1"/>
    <w:rsid w:val="007B4949"/>
    <w:rsid w:val="007B6853"/>
    <w:rsid w:val="007B7CD6"/>
    <w:rsid w:val="007C7035"/>
    <w:rsid w:val="007E4530"/>
    <w:rsid w:val="007E6D97"/>
    <w:rsid w:val="007F0BC6"/>
    <w:rsid w:val="007F3563"/>
    <w:rsid w:val="00800376"/>
    <w:rsid w:val="00801B1F"/>
    <w:rsid w:val="0080308C"/>
    <w:rsid w:val="00831374"/>
    <w:rsid w:val="00832AE2"/>
    <w:rsid w:val="00842896"/>
    <w:rsid w:val="00857580"/>
    <w:rsid w:val="00865238"/>
    <w:rsid w:val="008667BF"/>
    <w:rsid w:val="00886B9F"/>
    <w:rsid w:val="008906BC"/>
    <w:rsid w:val="00895645"/>
    <w:rsid w:val="00896764"/>
    <w:rsid w:val="008A0902"/>
    <w:rsid w:val="008A5B73"/>
    <w:rsid w:val="008A6221"/>
    <w:rsid w:val="008A7917"/>
    <w:rsid w:val="008B032D"/>
    <w:rsid w:val="008B2B92"/>
    <w:rsid w:val="008B65B6"/>
    <w:rsid w:val="008C3782"/>
    <w:rsid w:val="008C747D"/>
    <w:rsid w:val="008D4A32"/>
    <w:rsid w:val="008D593A"/>
    <w:rsid w:val="008E5388"/>
    <w:rsid w:val="008E700B"/>
    <w:rsid w:val="008E7760"/>
    <w:rsid w:val="008E785C"/>
    <w:rsid w:val="00907769"/>
    <w:rsid w:val="00916DCB"/>
    <w:rsid w:val="00922001"/>
    <w:rsid w:val="00922C17"/>
    <w:rsid w:val="009303FA"/>
    <w:rsid w:val="009357DD"/>
    <w:rsid w:val="00936081"/>
    <w:rsid w:val="00937764"/>
    <w:rsid w:val="00940AF8"/>
    <w:rsid w:val="00942DDD"/>
    <w:rsid w:val="009513FB"/>
    <w:rsid w:val="009516A8"/>
    <w:rsid w:val="00963FB5"/>
    <w:rsid w:val="0096502B"/>
    <w:rsid w:val="00965908"/>
    <w:rsid w:val="0097033A"/>
    <w:rsid w:val="00972433"/>
    <w:rsid w:val="0097705C"/>
    <w:rsid w:val="009823B0"/>
    <w:rsid w:val="009A38CD"/>
    <w:rsid w:val="009A3A80"/>
    <w:rsid w:val="009A4494"/>
    <w:rsid w:val="009A517D"/>
    <w:rsid w:val="009B4860"/>
    <w:rsid w:val="009B5F0F"/>
    <w:rsid w:val="009D2137"/>
    <w:rsid w:val="009D4960"/>
    <w:rsid w:val="009D5B6B"/>
    <w:rsid w:val="009D7A71"/>
    <w:rsid w:val="009E4C90"/>
    <w:rsid w:val="009E564C"/>
    <w:rsid w:val="009F2385"/>
    <w:rsid w:val="009F393D"/>
    <w:rsid w:val="009F7F46"/>
    <w:rsid w:val="00A000BF"/>
    <w:rsid w:val="00A012E2"/>
    <w:rsid w:val="00A020D3"/>
    <w:rsid w:val="00A0587E"/>
    <w:rsid w:val="00A0796F"/>
    <w:rsid w:val="00A12790"/>
    <w:rsid w:val="00A16FF2"/>
    <w:rsid w:val="00A21538"/>
    <w:rsid w:val="00A275BC"/>
    <w:rsid w:val="00A464B4"/>
    <w:rsid w:val="00A528B0"/>
    <w:rsid w:val="00A566D7"/>
    <w:rsid w:val="00A60768"/>
    <w:rsid w:val="00A60ECD"/>
    <w:rsid w:val="00A63D6B"/>
    <w:rsid w:val="00A6457B"/>
    <w:rsid w:val="00A84B52"/>
    <w:rsid w:val="00A8660F"/>
    <w:rsid w:val="00A86963"/>
    <w:rsid w:val="00A9488C"/>
    <w:rsid w:val="00A95C48"/>
    <w:rsid w:val="00A976D1"/>
    <w:rsid w:val="00AA6BA8"/>
    <w:rsid w:val="00AA7056"/>
    <w:rsid w:val="00AB31C6"/>
    <w:rsid w:val="00AB523B"/>
    <w:rsid w:val="00AC14EC"/>
    <w:rsid w:val="00AC1ABD"/>
    <w:rsid w:val="00AC638D"/>
    <w:rsid w:val="00AC7DC5"/>
    <w:rsid w:val="00AD58FF"/>
    <w:rsid w:val="00AD592F"/>
    <w:rsid w:val="00AD7E40"/>
    <w:rsid w:val="00AE17C9"/>
    <w:rsid w:val="00AF2C26"/>
    <w:rsid w:val="00B04624"/>
    <w:rsid w:val="00B1477A"/>
    <w:rsid w:val="00B17097"/>
    <w:rsid w:val="00B20824"/>
    <w:rsid w:val="00B20993"/>
    <w:rsid w:val="00B42E96"/>
    <w:rsid w:val="00B43144"/>
    <w:rsid w:val="00B50EE6"/>
    <w:rsid w:val="00B50F6B"/>
    <w:rsid w:val="00B5128E"/>
    <w:rsid w:val="00B52185"/>
    <w:rsid w:val="00B6366E"/>
    <w:rsid w:val="00B74C62"/>
    <w:rsid w:val="00B84160"/>
    <w:rsid w:val="00B903BF"/>
    <w:rsid w:val="00B91C72"/>
    <w:rsid w:val="00B9753A"/>
    <w:rsid w:val="00BA6339"/>
    <w:rsid w:val="00BB479C"/>
    <w:rsid w:val="00BB4CD0"/>
    <w:rsid w:val="00BC2A70"/>
    <w:rsid w:val="00BC66D9"/>
    <w:rsid w:val="00BD75A2"/>
    <w:rsid w:val="00BE5214"/>
    <w:rsid w:val="00BE65AF"/>
    <w:rsid w:val="00C04D0C"/>
    <w:rsid w:val="00C0761F"/>
    <w:rsid w:val="00C2017A"/>
    <w:rsid w:val="00C20470"/>
    <w:rsid w:val="00C34B2F"/>
    <w:rsid w:val="00C42CDB"/>
    <w:rsid w:val="00C4331F"/>
    <w:rsid w:val="00C4641B"/>
    <w:rsid w:val="00C53A2B"/>
    <w:rsid w:val="00C55371"/>
    <w:rsid w:val="00C5609A"/>
    <w:rsid w:val="00C6690E"/>
    <w:rsid w:val="00C703C5"/>
    <w:rsid w:val="00C726B0"/>
    <w:rsid w:val="00C740E1"/>
    <w:rsid w:val="00C77036"/>
    <w:rsid w:val="00C778C7"/>
    <w:rsid w:val="00C805F2"/>
    <w:rsid w:val="00C85F22"/>
    <w:rsid w:val="00C87828"/>
    <w:rsid w:val="00CA201E"/>
    <w:rsid w:val="00CA38AC"/>
    <w:rsid w:val="00CA574F"/>
    <w:rsid w:val="00CB780B"/>
    <w:rsid w:val="00CC013D"/>
    <w:rsid w:val="00CC2A6E"/>
    <w:rsid w:val="00CC44B8"/>
    <w:rsid w:val="00CC5E40"/>
    <w:rsid w:val="00CD2431"/>
    <w:rsid w:val="00CD6A76"/>
    <w:rsid w:val="00CE61AD"/>
    <w:rsid w:val="00CF0AB0"/>
    <w:rsid w:val="00CF1FBD"/>
    <w:rsid w:val="00D047E4"/>
    <w:rsid w:val="00D1368A"/>
    <w:rsid w:val="00D1569F"/>
    <w:rsid w:val="00D171DE"/>
    <w:rsid w:val="00D20B1E"/>
    <w:rsid w:val="00D21391"/>
    <w:rsid w:val="00D22462"/>
    <w:rsid w:val="00D230AC"/>
    <w:rsid w:val="00D31E3C"/>
    <w:rsid w:val="00D32489"/>
    <w:rsid w:val="00D32D8B"/>
    <w:rsid w:val="00D41597"/>
    <w:rsid w:val="00D6798F"/>
    <w:rsid w:val="00D73CB8"/>
    <w:rsid w:val="00D77658"/>
    <w:rsid w:val="00D838C9"/>
    <w:rsid w:val="00D856C5"/>
    <w:rsid w:val="00DA7591"/>
    <w:rsid w:val="00DA76E2"/>
    <w:rsid w:val="00DA796F"/>
    <w:rsid w:val="00DC46AB"/>
    <w:rsid w:val="00DC4FF8"/>
    <w:rsid w:val="00DC5748"/>
    <w:rsid w:val="00DD42E9"/>
    <w:rsid w:val="00DD6C05"/>
    <w:rsid w:val="00DE7F61"/>
    <w:rsid w:val="00E05D2F"/>
    <w:rsid w:val="00E1257A"/>
    <w:rsid w:val="00E15D08"/>
    <w:rsid w:val="00E21279"/>
    <w:rsid w:val="00E32798"/>
    <w:rsid w:val="00E358F2"/>
    <w:rsid w:val="00E36E77"/>
    <w:rsid w:val="00E51C91"/>
    <w:rsid w:val="00E650F5"/>
    <w:rsid w:val="00E667C1"/>
    <w:rsid w:val="00E81962"/>
    <w:rsid w:val="00E9585C"/>
    <w:rsid w:val="00EA36EB"/>
    <w:rsid w:val="00EA48D0"/>
    <w:rsid w:val="00EA6370"/>
    <w:rsid w:val="00EB04BD"/>
    <w:rsid w:val="00EB0A81"/>
    <w:rsid w:val="00EB0C8B"/>
    <w:rsid w:val="00EB5176"/>
    <w:rsid w:val="00EB6791"/>
    <w:rsid w:val="00EC3F88"/>
    <w:rsid w:val="00EC7227"/>
    <w:rsid w:val="00ED36D8"/>
    <w:rsid w:val="00EE51EC"/>
    <w:rsid w:val="00EE6BD7"/>
    <w:rsid w:val="00EF3CDD"/>
    <w:rsid w:val="00EF4664"/>
    <w:rsid w:val="00EF700B"/>
    <w:rsid w:val="00F008BB"/>
    <w:rsid w:val="00F05B68"/>
    <w:rsid w:val="00F0689D"/>
    <w:rsid w:val="00F20277"/>
    <w:rsid w:val="00F24C34"/>
    <w:rsid w:val="00F36FB6"/>
    <w:rsid w:val="00F44523"/>
    <w:rsid w:val="00F51497"/>
    <w:rsid w:val="00F52860"/>
    <w:rsid w:val="00F54210"/>
    <w:rsid w:val="00F6594F"/>
    <w:rsid w:val="00F814D4"/>
    <w:rsid w:val="00F91777"/>
    <w:rsid w:val="00FB01B5"/>
    <w:rsid w:val="00FB0474"/>
    <w:rsid w:val="00FB1D8F"/>
    <w:rsid w:val="00FD57D6"/>
    <w:rsid w:val="00FD7526"/>
    <w:rsid w:val="00FD7867"/>
    <w:rsid w:val="00FE1A1B"/>
    <w:rsid w:val="00FE4277"/>
    <w:rsid w:val="00FF6141"/>
    <w:rsid w:val="02CD191C"/>
    <w:rsid w:val="06A58C81"/>
    <w:rsid w:val="0EC58833"/>
    <w:rsid w:val="33A4A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73FB7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5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iPriority="10" w:unhideWhenUsed="1" w:qFormat="1"/>
    <w:lsdException w:name="List Bullet 4" w:semiHidden="1" w:uiPriority="10" w:unhideWhenUsed="1" w:qFormat="1"/>
    <w:lsdException w:name="List Bullet 5" w:semiHidden="1" w:uiPriority="10" w:unhideWhenUsed="1" w:qFormat="1"/>
    <w:lsdException w:name="List Number 2" w:uiPriority="15" w:qFormat="1"/>
    <w:lsdException w:name="List Number 3" w:uiPriority="15" w:qFormat="1"/>
    <w:lsdException w:name="List Number 4" w:uiPriority="15" w:qFormat="1"/>
    <w:lsdException w:name="List Number 5" w:uiPriority="15" w:qFormat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1" w:unhideWhenUsed="1"/>
    <w:lsdException w:name="Body Text Inde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31" w:unhideWhenUsed="1"/>
    <w:lsdException w:name="Body Text First Indent" w:semiHidden="1" w:uiPriority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2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7" w:qFormat="1"/>
    <w:lsdException w:name="Intense Quote" w:uiPriority="28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23" w:qFormat="1"/>
    <w:lsdException w:name="Intense Reference" w:uiPriority="24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20277"/>
    <w:pPr>
      <w:spacing w:after="160" w:line="240" w:lineRule="auto"/>
      <w:jc w:val="both"/>
    </w:pPr>
    <w:rPr>
      <w:color w:val="000000" w:themeColor="text1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43144"/>
    <w:pPr>
      <w:keepNext/>
      <w:keepLines/>
      <w:pageBreakBefore/>
      <w:numPr>
        <w:numId w:val="10"/>
      </w:numPr>
      <w:spacing w:before="160" w:after="0"/>
      <w:ind w:left="0" w:firstLine="0"/>
      <w:outlineLvl w:val="0"/>
    </w:pPr>
    <w:rPr>
      <w:rFonts w:asciiTheme="majorHAnsi" w:eastAsiaTheme="majorEastAsia" w:hAnsiTheme="majorHAnsi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43144"/>
    <w:pPr>
      <w:keepNext/>
      <w:keepLines/>
      <w:numPr>
        <w:ilvl w:val="1"/>
        <w:numId w:val="10"/>
      </w:numPr>
      <w:spacing w:before="16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43144"/>
    <w:pPr>
      <w:keepNext/>
      <w:keepLines/>
      <w:numPr>
        <w:ilvl w:val="2"/>
        <w:numId w:val="10"/>
      </w:numPr>
      <w:spacing w:before="16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43144"/>
    <w:pPr>
      <w:keepNext/>
      <w:keepLines/>
      <w:numPr>
        <w:ilvl w:val="3"/>
        <w:numId w:val="11"/>
      </w:numPr>
      <w:spacing w:before="160"/>
      <w:ind w:left="862" w:hanging="862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53CB9"/>
    <w:pPr>
      <w:keepNext/>
      <w:keepLines/>
      <w:numPr>
        <w:ilvl w:val="4"/>
        <w:numId w:val="10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6690E"/>
    <w:pPr>
      <w:keepNext/>
      <w:keepLines/>
      <w:numPr>
        <w:ilvl w:val="5"/>
        <w:numId w:val="10"/>
      </w:numPr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C6690E"/>
    <w:pPr>
      <w:keepNext/>
      <w:keepLines/>
      <w:numPr>
        <w:ilvl w:val="6"/>
        <w:numId w:val="10"/>
      </w:numPr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95C48"/>
    <w:pPr>
      <w:keepNext/>
      <w:keepLines/>
      <w:numPr>
        <w:ilvl w:val="7"/>
        <w:numId w:val="10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95C48"/>
    <w:pPr>
      <w:keepNext/>
      <w:keepLines/>
      <w:numPr>
        <w:ilvl w:val="8"/>
        <w:numId w:val="1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Conclusion de partie,_Odstavec se seznamem,Seznam - odrážky,Fiche List Paragraph,List Paragraph (Czech Tourism),Název grafu,nad 1,Odstavec se seznamem2,List Paragraph,Odstavec_muj1"/>
    <w:basedOn w:val="Normln"/>
    <w:link w:val="OdstavecseseznamemChar"/>
    <w:uiPriority w:val="34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B43144"/>
    <w:rPr>
      <w:rFonts w:asciiTheme="majorHAnsi" w:eastAsiaTheme="majorEastAsia" w:hAnsiTheme="majorHAnsi" w:cstheme="majorBidi"/>
      <w:b/>
      <w:caps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9"/>
    <w:rsid w:val="00B43144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4"/>
      </w:numPr>
    </w:pPr>
  </w:style>
  <w:style w:type="numbering" w:customStyle="1" w:styleId="VariantaB-sla">
    <w:name w:val="Varianta B - čísla"/>
    <w:uiPriority w:val="99"/>
    <w:rsid w:val="009F7F46"/>
    <w:pPr>
      <w:numPr>
        <w:numId w:val="3"/>
      </w:numPr>
    </w:pPr>
  </w:style>
  <w:style w:type="character" w:customStyle="1" w:styleId="Nadpis3Char">
    <w:name w:val="Nadpis 3 Char"/>
    <w:basedOn w:val="Standardnpsmoodstavce"/>
    <w:link w:val="Nadpis3"/>
    <w:uiPriority w:val="9"/>
    <w:rsid w:val="00B43144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B43144"/>
    <w:rPr>
      <w:rFonts w:asciiTheme="majorHAnsi" w:eastAsiaTheme="majorEastAsia" w:hAnsiTheme="majorHAnsi" w:cstheme="majorBidi"/>
      <w:b/>
      <w:iCs/>
      <w:color w:val="000000" w:themeColor="tex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653CB9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Nadpis6Char">
    <w:name w:val="Nadpis 6 Char"/>
    <w:basedOn w:val="Standardnpsmoodstavce"/>
    <w:link w:val="Nadpis6"/>
    <w:uiPriority w:val="9"/>
    <w:rsid w:val="003250CB"/>
    <w:rPr>
      <w:rFonts w:asciiTheme="majorHAnsi" w:eastAsiaTheme="majorEastAsia" w:hAnsiTheme="majorHAnsi" w:cstheme="majorBidi"/>
      <w:i/>
      <w:color w:val="000000" w:themeColor="text1"/>
      <w:sz w:val="20"/>
    </w:rPr>
  </w:style>
  <w:style w:type="character" w:customStyle="1" w:styleId="Nadpis7Char">
    <w:name w:val="Nadpis 7 Char"/>
    <w:basedOn w:val="Standardnpsmoodstavce"/>
    <w:link w:val="Nadpis7"/>
    <w:uiPriority w:val="9"/>
    <w:rsid w:val="003250CB"/>
    <w:rPr>
      <w:rFonts w:asciiTheme="majorHAnsi" w:eastAsiaTheme="majorEastAsia" w:hAnsiTheme="majorHAnsi" w:cstheme="majorBidi"/>
      <w:iCs/>
      <w:color w:val="000000" w:themeColor="text1"/>
      <w:sz w:val="20"/>
    </w:rPr>
  </w:style>
  <w:style w:type="character" w:customStyle="1" w:styleId="Nadpis8Char">
    <w:name w:val="Nadpis 8 Char"/>
    <w:basedOn w:val="Standardnpsmoodstavce"/>
    <w:link w:val="Nadpis8"/>
    <w:uiPriority w:val="9"/>
    <w:rsid w:val="003250CB"/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C55371"/>
    <w:pPr>
      <w:keepNext/>
      <w:keepLines/>
      <w:spacing w:after="0"/>
      <w:contextualSpacing/>
    </w:pPr>
    <w:rPr>
      <w:rFonts w:asciiTheme="majorHAnsi" w:eastAsiaTheme="majorEastAsia" w:hAnsiTheme="majorHAnsi" w:cstheme="majorBidi"/>
      <w:color w:val="004B8D" w:themeColor="text2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C55371"/>
    <w:rPr>
      <w:rFonts w:asciiTheme="majorHAnsi" w:eastAsiaTheme="majorEastAsia" w:hAnsiTheme="majorHAnsi" w:cstheme="majorBidi"/>
      <w:color w:val="004B8D" w:themeColor="text2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C55371"/>
    <w:pPr>
      <w:keepLines/>
      <w:pBdr>
        <w:top w:val="single" w:sz="4" w:space="10" w:color="004B8D" w:themeColor="accent2"/>
        <w:bottom w:val="single" w:sz="4" w:space="10" w:color="004B8D" w:themeColor="accent2"/>
      </w:pBdr>
      <w:spacing w:before="240" w:after="240"/>
      <w:ind w:left="357" w:right="357"/>
    </w:pPr>
    <w:rPr>
      <w:i/>
      <w:iCs/>
      <w:color w:val="004B8D" w:themeColor="text2"/>
    </w:rPr>
  </w:style>
  <w:style w:type="character" w:customStyle="1" w:styleId="VrazncittChar">
    <w:name w:val="Výrazný citát Char"/>
    <w:basedOn w:val="Standardnpsmoodstavce"/>
    <w:link w:val="Vrazncitt"/>
    <w:uiPriority w:val="28"/>
    <w:rsid w:val="00C55371"/>
    <w:rPr>
      <w:i/>
      <w:iCs/>
      <w:color w:val="004B8D" w:themeColor="text2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7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7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7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7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7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5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5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5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5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5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6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6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6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6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6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C55371"/>
    <w:pPr>
      <w:keepNext/>
      <w:keepLines/>
      <w:spacing w:before="160" w:after="0"/>
    </w:pPr>
    <w:rPr>
      <w:rFonts w:asciiTheme="majorHAnsi" w:hAnsiTheme="majorHAnsi"/>
      <w:b/>
      <w:color w:val="004B8D" w:themeColor="text2"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39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aliases w:val="Text v bloku A"/>
    <w:basedOn w:val="Normln"/>
    <w:uiPriority w:val="29"/>
    <w:unhideWhenUsed/>
    <w:rsid w:val="00C55371"/>
    <w:pPr>
      <w:pBdr>
        <w:top w:val="single" w:sz="2" w:space="4" w:color="004B8D" w:themeColor="accent2"/>
        <w:left w:val="single" w:sz="2" w:space="8" w:color="004B8D" w:themeColor="accent2"/>
        <w:bottom w:val="single" w:sz="2" w:space="4" w:color="004B8D" w:themeColor="accent2"/>
        <w:right w:val="single" w:sz="2" w:space="8" w:color="004B8D" w:themeColor="accent2"/>
      </w:pBdr>
      <w:ind w:left="357" w:right="357"/>
    </w:pPr>
    <w:rPr>
      <w:rFonts w:eastAsiaTheme="minorEastAsia"/>
      <w:i/>
      <w:iCs/>
      <w:color w:val="004B8D" w:themeColor="accent2"/>
    </w:rPr>
  </w:style>
  <w:style w:type="character" w:styleId="Sledovanodkaz">
    <w:name w:val="FollowedHyperlink"/>
    <w:basedOn w:val="Standardnpsmoodstavce"/>
    <w:uiPriority w:val="99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TextvblokuB">
    <w:name w:val="Text v bloku B"/>
    <w:basedOn w:val="Normln"/>
    <w:uiPriority w:val="29"/>
    <w:qFormat/>
    <w:rsid w:val="00C55371"/>
    <w:pPr>
      <w:pBdr>
        <w:top w:val="single" w:sz="2" w:space="4" w:color="004B8D" w:themeColor="accent2"/>
        <w:left w:val="single" w:sz="2" w:space="8" w:color="004B8D" w:themeColor="accent2"/>
        <w:bottom w:val="single" w:sz="2" w:space="4" w:color="004B8D" w:themeColor="accent2"/>
        <w:right w:val="single" w:sz="2" w:space="8" w:color="004B8D" w:themeColor="accent2"/>
      </w:pBdr>
      <w:shd w:val="clear" w:color="auto" w:fill="004B8D" w:themeFill="accent2"/>
      <w:ind w:left="357" w:right="357"/>
    </w:pPr>
    <w:rPr>
      <w:color w:val="FFFFFF" w:themeColor="background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8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8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8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8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8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7F356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F3563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7F356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7F3563"/>
    <w:rPr>
      <w:color w:val="000000" w:themeColor="text1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A5B73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Nad Char,Odstavec cíl se seznamem Char,Odstavec se seznamem5 Char,Conclusion de partie Char,_Odstavec se seznamem Char,Seznam - odrážky Char,Fiche List Paragraph Char,List Paragraph (Czech Tourism) Char,Název grafu Char"/>
    <w:link w:val="Odstavecseseznamem"/>
    <w:uiPriority w:val="34"/>
    <w:qFormat/>
    <w:locked/>
    <w:rsid w:val="0052746F"/>
    <w:rPr>
      <w:color w:val="000000" w:themeColor="text1"/>
    </w:rPr>
  </w:style>
  <w:style w:type="paragraph" w:styleId="Textpoznpodarou">
    <w:name w:val="footnote text"/>
    <w:aliases w:val="pozn. pod čarou,Footnote text,Fußnotentextf,Schriftart: 9 pt,Schriftart: 10 pt,Schriftart: 8 pt,Char Char Char Char Char,Char Char Char Char,Char Char Char,Char3,Char Char,Text pozn. pod čarou1,Footnote Text Char1"/>
    <w:basedOn w:val="Normln"/>
    <w:link w:val="TextpoznpodarouChar"/>
    <w:uiPriority w:val="99"/>
    <w:unhideWhenUsed/>
    <w:qFormat/>
    <w:rsid w:val="004F3625"/>
    <w:pPr>
      <w:spacing w:after="0"/>
    </w:pPr>
    <w:rPr>
      <w:szCs w:val="20"/>
    </w:rPr>
  </w:style>
  <w:style w:type="character" w:customStyle="1" w:styleId="TextpoznpodarouChar">
    <w:name w:val="Text pozn. pod čarou Char"/>
    <w:aliases w:val="pozn. pod čarou Char,Footnote text Char,Fußnotentextf Char,Schriftart: 9 pt Char,Schriftart: 10 pt Char,Schriftart: 8 pt Char,Char Char Char Char Char Char,Char Char Char Char Char1,Char Char Char Char1,Char3 Char"/>
    <w:basedOn w:val="Standardnpsmoodstavce"/>
    <w:link w:val="Textpoznpodarou"/>
    <w:uiPriority w:val="99"/>
    <w:qFormat/>
    <w:rsid w:val="004F3625"/>
    <w:rPr>
      <w:color w:val="000000" w:themeColor="text1"/>
      <w:sz w:val="20"/>
      <w:szCs w:val="20"/>
    </w:rPr>
  </w:style>
  <w:style w:type="character" w:styleId="Znakapoznpodarou">
    <w:name w:val="footnote reference"/>
    <w:aliases w:val="Footnote symbol,Footnote,BVI fnr,EN Footnote Reference,Footnote Reference Number,PGI Fußnote Ziffer,Footnote Reference Superscript,Appel note de bas de p,Appel note de bas de page,Légende,Char Car Car Car Car,Voetnootverwijzing,fr"/>
    <w:basedOn w:val="Standardnpsmoodstavce"/>
    <w:link w:val="FootnotesymbolCarZchn"/>
    <w:uiPriority w:val="99"/>
    <w:unhideWhenUsed/>
    <w:qFormat/>
    <w:rsid w:val="004F3625"/>
    <w:rPr>
      <w:vertAlign w:val="superscript"/>
    </w:rPr>
  </w:style>
  <w:style w:type="character" w:styleId="Siln">
    <w:name w:val="Strong"/>
    <w:basedOn w:val="Standardnpsmoodstavce"/>
    <w:uiPriority w:val="22"/>
    <w:qFormat/>
    <w:rsid w:val="00B903BF"/>
    <w:rPr>
      <w:b/>
      <w:bCs/>
    </w:rPr>
  </w:style>
  <w:style w:type="table" w:styleId="Mkatabulky">
    <w:name w:val="Table Grid"/>
    <w:aliases w:val="SGS Table Basic 1,CV table"/>
    <w:basedOn w:val="Normlntabulka"/>
    <w:uiPriority w:val="39"/>
    <w:rsid w:val="00E1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ln"/>
    <w:rsid w:val="00832AE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832AE2"/>
  </w:style>
  <w:style w:type="character" w:customStyle="1" w:styleId="spellingerror">
    <w:name w:val="spellingerror"/>
    <w:basedOn w:val="Standardnpsmoodstavce"/>
    <w:rsid w:val="00832AE2"/>
  </w:style>
  <w:style w:type="character" w:customStyle="1" w:styleId="eop">
    <w:name w:val="eop"/>
    <w:basedOn w:val="Standardnpsmoodstavce"/>
    <w:rsid w:val="00832AE2"/>
  </w:style>
  <w:style w:type="paragraph" w:customStyle="1" w:styleId="oj-normal">
    <w:name w:val="oj-normal"/>
    <w:basedOn w:val="Normln"/>
    <w:rsid w:val="00EA48D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00Body">
    <w:name w:val="00 Body"/>
    <w:basedOn w:val="Normln"/>
    <w:link w:val="00BodyChar"/>
    <w:qFormat/>
    <w:rsid w:val="00A012E2"/>
    <w:pPr>
      <w:spacing w:before="180" w:after="180" w:line="264" w:lineRule="auto"/>
      <w:jc w:val="left"/>
    </w:pPr>
    <w:rPr>
      <w:rFonts w:ascii="Arial (Body)" w:eastAsia="Times New Roman" w:hAnsi="Arial (Body)" w:cs="Times New Roman"/>
      <w:color w:val="auto"/>
      <w:szCs w:val="20"/>
      <w:lang w:val="en-US"/>
    </w:rPr>
  </w:style>
  <w:style w:type="character" w:customStyle="1" w:styleId="00BodyChar">
    <w:name w:val="00 Body Char"/>
    <w:basedOn w:val="Standardnpsmoodstavce"/>
    <w:link w:val="00Body"/>
    <w:rsid w:val="00A012E2"/>
    <w:rPr>
      <w:rFonts w:ascii="Arial (Body)" w:eastAsia="Times New Roman" w:hAnsi="Arial (Body)" w:cs="Times New Roman"/>
      <w:szCs w:val="20"/>
      <w:lang w:val="en-US"/>
    </w:rPr>
  </w:style>
  <w:style w:type="character" w:customStyle="1" w:styleId="scxw84907031">
    <w:name w:val="scxw84907031"/>
    <w:basedOn w:val="Standardnpsmoodstavce"/>
    <w:rsid w:val="00261C3D"/>
  </w:style>
  <w:style w:type="character" w:styleId="Odkaznakoment">
    <w:name w:val="annotation reference"/>
    <w:basedOn w:val="Standardnpsmoodstavce"/>
    <w:uiPriority w:val="99"/>
    <w:qFormat/>
    <w:rsid w:val="001E55BB"/>
    <w:rPr>
      <w:sz w:val="16"/>
      <w:szCs w:val="16"/>
    </w:rPr>
  </w:style>
  <w:style w:type="paragraph" w:styleId="Normlnweb">
    <w:name w:val="Normal (Web)"/>
    <w:basedOn w:val="Normln"/>
    <w:uiPriority w:val="99"/>
    <w:unhideWhenUsed/>
    <w:rsid w:val="001E55B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xmsonormal">
    <w:name w:val="x_msonormal"/>
    <w:basedOn w:val="Normln"/>
    <w:rsid w:val="001E55B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scxw81695220">
    <w:name w:val="scxw81695220"/>
    <w:basedOn w:val="Standardnpsmoodstavce"/>
    <w:rsid w:val="001E55BB"/>
  </w:style>
  <w:style w:type="paragraph" w:styleId="Textkomente">
    <w:name w:val="annotation text"/>
    <w:basedOn w:val="Normln"/>
    <w:link w:val="TextkomenteChar"/>
    <w:uiPriority w:val="99"/>
    <w:unhideWhenUsed/>
    <w:rsid w:val="001E55BB"/>
    <w:pPr>
      <w:suppressAutoHyphens/>
      <w:overflowPunct w:val="0"/>
      <w:spacing w:after="0"/>
      <w:jc w:val="left"/>
      <w:textAlignment w:val="baseline"/>
    </w:pPr>
    <w:rPr>
      <w:rFonts w:ascii="Times New Roman" w:eastAsia="Times New Roman" w:hAnsi="Times New Roman" w:cs="Times New Roman"/>
      <w:color w:val="auto"/>
      <w:szCs w:val="20"/>
      <w:lang w:eastAsia="zh-CN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E55B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5B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55BB"/>
    <w:rPr>
      <w:rFonts w:ascii="Segoe UI" w:hAnsi="Segoe UI" w:cs="Segoe UI"/>
      <w:color w:val="000000" w:themeColor="text1"/>
      <w:sz w:val="18"/>
      <w:szCs w:val="18"/>
    </w:rPr>
  </w:style>
  <w:style w:type="paragraph" w:customStyle="1" w:styleId="Default">
    <w:name w:val="Default"/>
    <w:link w:val="DefaultChar"/>
    <w:rsid w:val="00FD78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faultChar">
    <w:name w:val="Default Char"/>
    <w:basedOn w:val="Standardnpsmoodstavce"/>
    <w:link w:val="Default"/>
    <w:rsid w:val="00FD7867"/>
    <w:rPr>
      <w:rFonts w:ascii="Times New Roman" w:hAnsi="Times New Roman" w:cs="Times New Roman"/>
      <w:color w:val="000000"/>
      <w:sz w:val="24"/>
      <w:szCs w:val="24"/>
    </w:rPr>
  </w:style>
  <w:style w:type="character" w:customStyle="1" w:styleId="K-TextChar">
    <w:name w:val="K-Text Char"/>
    <w:basedOn w:val="Standardnpsmoodstavce"/>
    <w:link w:val="K-Text"/>
    <w:locked/>
    <w:rsid w:val="00F24C34"/>
    <w:rPr>
      <w:rFonts w:ascii="Times New Roman" w:hAnsi="Times New Roman" w:cs="Times New Roman"/>
      <w:iCs/>
      <w:sz w:val="23"/>
      <w:szCs w:val="23"/>
    </w:rPr>
  </w:style>
  <w:style w:type="paragraph" w:customStyle="1" w:styleId="K-Text">
    <w:name w:val="K-Text"/>
    <w:basedOn w:val="Normln"/>
    <w:link w:val="K-TextChar"/>
    <w:qFormat/>
    <w:rsid w:val="00F24C34"/>
    <w:pPr>
      <w:spacing w:after="120" w:line="292" w:lineRule="auto"/>
    </w:pPr>
    <w:rPr>
      <w:rFonts w:ascii="Times New Roman" w:hAnsi="Times New Roman" w:cs="Times New Roman"/>
      <w:iCs/>
      <w:color w:val="auto"/>
      <w:sz w:val="23"/>
      <w:szCs w:val="23"/>
    </w:rPr>
  </w:style>
  <w:style w:type="character" w:customStyle="1" w:styleId="Nevyeenzmnka10">
    <w:name w:val="Nevyřešená zmínka1"/>
    <w:basedOn w:val="Standardnpsmoodstavce"/>
    <w:uiPriority w:val="99"/>
    <w:semiHidden/>
    <w:unhideWhenUsed/>
    <w:rsid w:val="00C42CDB"/>
    <w:rPr>
      <w:color w:val="605E5C"/>
      <w:shd w:val="clear" w:color="auto" w:fill="E1DFDD"/>
    </w:rPr>
  </w:style>
  <w:style w:type="paragraph" w:customStyle="1" w:styleId="K-Nadpis1">
    <w:name w:val="K-Nadpis1"/>
    <w:basedOn w:val="Nadpis1"/>
    <w:link w:val="K-Nadpis1Char"/>
    <w:qFormat/>
    <w:rsid w:val="006D3F2D"/>
    <w:pPr>
      <w:numPr>
        <w:numId w:val="0"/>
      </w:numPr>
      <w:jc w:val="left"/>
    </w:pPr>
    <w:rPr>
      <w:rFonts w:ascii="Times New Roman" w:hAnsi="Times New Roman" w:cs="Times New Roman"/>
      <w:sz w:val="32"/>
    </w:rPr>
  </w:style>
  <w:style w:type="paragraph" w:customStyle="1" w:styleId="K-Nadpis2">
    <w:name w:val="K-Nadpis2"/>
    <w:basedOn w:val="Nadpis2"/>
    <w:link w:val="K-Nadpis2Char"/>
    <w:qFormat/>
    <w:rsid w:val="006D3F2D"/>
    <w:pPr>
      <w:numPr>
        <w:ilvl w:val="0"/>
        <w:numId w:val="0"/>
      </w:numPr>
      <w:jc w:val="left"/>
    </w:pPr>
  </w:style>
  <w:style w:type="character" w:customStyle="1" w:styleId="K-Nadpis1Char">
    <w:name w:val="K-Nadpis1 Char"/>
    <w:basedOn w:val="Nadpis1Char"/>
    <w:link w:val="K-Nadpis1"/>
    <w:rsid w:val="006D3F2D"/>
    <w:rPr>
      <w:rFonts w:ascii="Times New Roman" w:eastAsiaTheme="majorEastAsia" w:hAnsi="Times New Roman" w:cs="Times New Roman"/>
      <w:b/>
      <w:caps/>
      <w:color w:val="000000" w:themeColor="text1"/>
      <w:sz w:val="32"/>
      <w:szCs w:val="32"/>
    </w:rPr>
  </w:style>
  <w:style w:type="paragraph" w:customStyle="1" w:styleId="K-Nadpis3">
    <w:name w:val="K-Nadpis3"/>
    <w:basedOn w:val="Default"/>
    <w:link w:val="K-Nadpis3Char"/>
    <w:qFormat/>
    <w:rsid w:val="00C42CDB"/>
    <w:pPr>
      <w:spacing w:after="120"/>
      <w:jc w:val="both"/>
    </w:pPr>
    <w:rPr>
      <w:b/>
      <w:szCs w:val="23"/>
    </w:rPr>
  </w:style>
  <w:style w:type="character" w:customStyle="1" w:styleId="K-Nadpis2Char">
    <w:name w:val="K-Nadpis2 Char"/>
    <w:basedOn w:val="Nadpis2Char"/>
    <w:link w:val="K-Nadpis2"/>
    <w:rsid w:val="006D3F2D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character" w:customStyle="1" w:styleId="K-Nadpis3Char">
    <w:name w:val="K-Nadpis3 Char"/>
    <w:basedOn w:val="DefaultChar"/>
    <w:link w:val="K-Nadpis3"/>
    <w:rsid w:val="00C42CDB"/>
    <w:rPr>
      <w:rFonts w:ascii="Times New Roman" w:hAnsi="Times New Roman" w:cs="Times New Roman"/>
      <w:b/>
      <w:color w:val="000000"/>
      <w:sz w:val="24"/>
      <w:szCs w:val="23"/>
    </w:rPr>
  </w:style>
  <w:style w:type="paragraph" w:customStyle="1" w:styleId="K-TextInfo">
    <w:name w:val="K-Text_Info"/>
    <w:basedOn w:val="Default"/>
    <w:link w:val="K-TextInfoChar"/>
    <w:qFormat/>
    <w:rsid w:val="00C42CDB"/>
    <w:pPr>
      <w:spacing w:after="120"/>
      <w:jc w:val="both"/>
    </w:pPr>
    <w:rPr>
      <w:i/>
      <w:iCs/>
      <w:color w:val="2196FF" w:themeColor="text2" w:themeTint="99"/>
      <w:sz w:val="23"/>
      <w:szCs w:val="23"/>
    </w:rPr>
  </w:style>
  <w:style w:type="paragraph" w:customStyle="1" w:styleId="K-Tabulka">
    <w:name w:val="K-Tabulka"/>
    <w:basedOn w:val="Default"/>
    <w:link w:val="K-TabulkaChar"/>
    <w:qFormat/>
    <w:rsid w:val="00C42CDB"/>
    <w:pPr>
      <w:spacing w:after="120"/>
      <w:jc w:val="both"/>
    </w:pPr>
    <w:rPr>
      <w:b/>
      <w:bCs/>
      <w:sz w:val="23"/>
      <w:szCs w:val="23"/>
    </w:rPr>
  </w:style>
  <w:style w:type="character" w:customStyle="1" w:styleId="K-TextInfoChar">
    <w:name w:val="K-Text_Info Char"/>
    <w:basedOn w:val="DefaultChar"/>
    <w:link w:val="K-TextInfo"/>
    <w:rsid w:val="00C42CDB"/>
    <w:rPr>
      <w:rFonts w:ascii="Times New Roman" w:hAnsi="Times New Roman" w:cs="Times New Roman"/>
      <w:i/>
      <w:iCs/>
      <w:color w:val="2196FF" w:themeColor="text2" w:themeTint="99"/>
      <w:sz w:val="23"/>
      <w:szCs w:val="23"/>
    </w:rPr>
  </w:style>
  <w:style w:type="paragraph" w:customStyle="1" w:styleId="K-TextPozn">
    <w:name w:val="K-Text_Pozn"/>
    <w:basedOn w:val="Textpoznpodarou"/>
    <w:link w:val="K-TextPoznChar"/>
    <w:qFormat/>
    <w:rsid w:val="00C42CDB"/>
    <w:pPr>
      <w:jc w:val="left"/>
    </w:pPr>
    <w:rPr>
      <w:rFonts w:ascii="Times New Roman" w:hAnsi="Times New Roman" w:cs="Times New Roman"/>
    </w:rPr>
  </w:style>
  <w:style w:type="character" w:customStyle="1" w:styleId="K-TabulkaChar">
    <w:name w:val="K-Tabulka Char"/>
    <w:basedOn w:val="DefaultChar"/>
    <w:link w:val="K-Tabulka"/>
    <w:rsid w:val="00C42CDB"/>
    <w:rPr>
      <w:rFonts w:ascii="Times New Roman" w:hAnsi="Times New Roman" w:cs="Times New Roman"/>
      <w:b/>
      <w:bCs/>
      <w:color w:val="000000"/>
      <w:sz w:val="23"/>
      <w:szCs w:val="23"/>
    </w:rPr>
  </w:style>
  <w:style w:type="character" w:customStyle="1" w:styleId="K-TextPoznChar">
    <w:name w:val="K-Text_Pozn Char"/>
    <w:basedOn w:val="TextpoznpodarouChar"/>
    <w:link w:val="K-TextPozn"/>
    <w:rsid w:val="00C42CDB"/>
    <w:rPr>
      <w:rFonts w:ascii="Times New Roman" w:hAnsi="Times New Roman" w:cs="Times New Roman"/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2CDB"/>
    <w:pPr>
      <w:suppressAutoHyphens w:val="0"/>
      <w:overflowPunct/>
      <w:spacing w:after="160"/>
      <w:textAlignment w:val="auto"/>
    </w:pPr>
    <w:rPr>
      <w:rFonts w:asciiTheme="minorHAnsi" w:eastAsiaTheme="minorHAnsi" w:hAnsiTheme="minorHAnsi" w:cstheme="minorBidi"/>
      <w:b/>
      <w:bCs/>
      <w:color w:val="000000" w:themeColor="text1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2CDB"/>
    <w:rPr>
      <w:rFonts w:ascii="Times New Roman" w:eastAsia="Times New Roman" w:hAnsi="Times New Roman" w:cs="Times New Roman"/>
      <w:b/>
      <w:bCs/>
      <w:color w:val="000000" w:themeColor="text1"/>
      <w:sz w:val="20"/>
      <w:szCs w:val="20"/>
      <w:lang w:eastAsia="zh-CN"/>
    </w:rPr>
  </w:style>
  <w:style w:type="paragraph" w:styleId="Revize">
    <w:name w:val="Revision"/>
    <w:hidden/>
    <w:uiPriority w:val="99"/>
    <w:semiHidden/>
    <w:rsid w:val="00C42CDB"/>
    <w:pPr>
      <w:spacing w:after="0" w:line="240" w:lineRule="auto"/>
    </w:pPr>
    <w:rPr>
      <w:color w:val="000000" w:themeColor="text1"/>
    </w:rPr>
  </w:style>
  <w:style w:type="character" w:customStyle="1" w:styleId="apple-converted-space">
    <w:name w:val="apple-converted-space"/>
    <w:basedOn w:val="Standardnpsmoodstavce"/>
    <w:rsid w:val="00C42CDB"/>
  </w:style>
  <w:style w:type="character" w:customStyle="1" w:styleId="CharStyle11">
    <w:name w:val="Char Style 11"/>
    <w:basedOn w:val="Standardnpsmoodstavce"/>
    <w:link w:val="Style10"/>
    <w:rsid w:val="00C42CDB"/>
    <w:rPr>
      <w:shd w:val="clear" w:color="auto" w:fill="FFFFFF"/>
    </w:rPr>
  </w:style>
  <w:style w:type="paragraph" w:customStyle="1" w:styleId="Style10">
    <w:name w:val="Style 10"/>
    <w:basedOn w:val="Normln"/>
    <w:link w:val="CharStyle11"/>
    <w:qFormat/>
    <w:rsid w:val="00C42CDB"/>
    <w:pPr>
      <w:widowControl w:val="0"/>
      <w:shd w:val="clear" w:color="auto" w:fill="FFFFFF"/>
      <w:spacing w:before="420" w:after="260" w:line="244" w:lineRule="exact"/>
      <w:ind w:hanging="440"/>
    </w:pPr>
    <w:rPr>
      <w:color w:val="auto"/>
    </w:rPr>
  </w:style>
  <w:style w:type="character" w:customStyle="1" w:styleId="CharStyle17">
    <w:name w:val="Char Style 17"/>
    <w:basedOn w:val="Standardnpsmoodstavce"/>
    <w:link w:val="Style18"/>
    <w:rsid w:val="00C42CDB"/>
    <w:rPr>
      <w:i/>
      <w:iCs/>
      <w:sz w:val="23"/>
      <w:szCs w:val="23"/>
      <w:shd w:val="clear" w:color="auto" w:fill="FFFFFF"/>
    </w:rPr>
  </w:style>
  <w:style w:type="paragraph" w:customStyle="1" w:styleId="Style18">
    <w:name w:val="Style 18"/>
    <w:basedOn w:val="Normln"/>
    <w:link w:val="CharStyle17"/>
    <w:rsid w:val="00C42CDB"/>
    <w:pPr>
      <w:widowControl w:val="0"/>
      <w:shd w:val="clear" w:color="auto" w:fill="FFFFFF"/>
      <w:spacing w:before="320" w:after="180" w:line="298" w:lineRule="exact"/>
    </w:pPr>
    <w:rPr>
      <w:i/>
      <w:iCs/>
      <w:color w:val="auto"/>
      <w:sz w:val="23"/>
      <w:szCs w:val="23"/>
    </w:rPr>
  </w:style>
  <w:style w:type="character" w:styleId="PromnnHTML">
    <w:name w:val="HTML Variable"/>
    <w:basedOn w:val="Standardnpsmoodstavce"/>
    <w:uiPriority w:val="99"/>
    <w:semiHidden/>
    <w:unhideWhenUsed/>
    <w:rsid w:val="00C42CDB"/>
    <w:rPr>
      <w:i/>
      <w:iCs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rsid w:val="00C42CDB"/>
    <w:pPr>
      <w:spacing w:after="200"/>
    </w:pPr>
    <w:rPr>
      <w:i/>
      <w:iCs/>
      <w:noProof/>
      <w:color w:val="004B8D" w:themeColor="text2"/>
      <w:sz w:val="18"/>
      <w:szCs w:val="18"/>
    </w:rPr>
  </w:style>
  <w:style w:type="character" w:customStyle="1" w:styleId="TitulekChar">
    <w:name w:val="Titulek Char"/>
    <w:link w:val="Titulek"/>
    <w:rsid w:val="00C42CDB"/>
    <w:rPr>
      <w:i/>
      <w:iCs/>
      <w:noProof/>
      <w:color w:val="004B8D" w:themeColor="text2"/>
      <w:sz w:val="18"/>
      <w:szCs w:val="18"/>
    </w:rPr>
  </w:style>
  <w:style w:type="paragraph" w:customStyle="1" w:styleId="Odrkyabc">
    <w:name w:val="Odrážky abc"/>
    <w:basedOn w:val="Normln"/>
    <w:uiPriority w:val="99"/>
    <w:rsid w:val="00C42CDB"/>
    <w:pPr>
      <w:numPr>
        <w:numId w:val="73"/>
      </w:numPr>
      <w:spacing w:before="120" w:after="120"/>
      <w:jc w:val="left"/>
    </w:pPr>
    <w:rPr>
      <w:rFonts w:ascii="Arial" w:eastAsia="Times New Roman" w:hAnsi="Arial" w:cs="Times New Roman"/>
      <w:color w:val="auto"/>
      <w:szCs w:val="24"/>
      <w:lang w:eastAsia="cs-CZ"/>
    </w:rPr>
  </w:style>
  <w:style w:type="character" w:customStyle="1" w:styleId="apple-style-span">
    <w:name w:val="apple-style-span"/>
    <w:basedOn w:val="Standardnpsmoodstavce"/>
    <w:rsid w:val="00C42CDB"/>
  </w:style>
  <w:style w:type="table" w:customStyle="1" w:styleId="Mkatabulky1">
    <w:name w:val="Mřížka tabulky1"/>
    <w:basedOn w:val="Normlntabulka"/>
    <w:next w:val="Mkatabulky"/>
    <w:uiPriority w:val="39"/>
    <w:rsid w:val="00C42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C42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ln"/>
    <w:link w:val="Bullet1Char"/>
    <w:qFormat/>
    <w:rsid w:val="00C42CDB"/>
    <w:pPr>
      <w:numPr>
        <w:numId w:val="76"/>
      </w:numPr>
      <w:spacing w:before="120" w:after="120"/>
      <w:jc w:val="left"/>
    </w:pPr>
    <w:rPr>
      <w:rFonts w:ascii="Arial" w:eastAsia="Times New Roman" w:hAnsi="Arial" w:cs="Times New Roman"/>
      <w:color w:val="auto"/>
      <w:szCs w:val="24"/>
      <w:lang w:eastAsia="cs-CZ"/>
    </w:rPr>
  </w:style>
  <w:style w:type="paragraph" w:customStyle="1" w:styleId="Odrka1">
    <w:name w:val="Odrážka 1"/>
    <w:basedOn w:val="Bullet1"/>
    <w:link w:val="Odrka1Char"/>
    <w:qFormat/>
    <w:rsid w:val="00C42CDB"/>
  </w:style>
  <w:style w:type="character" w:customStyle="1" w:styleId="Odrka1Char">
    <w:name w:val="Odrážka 1 Char"/>
    <w:basedOn w:val="Standardnpsmoodstavce"/>
    <w:link w:val="Odrka1"/>
    <w:rsid w:val="00C42CDB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Bullet1Char">
    <w:name w:val="Bullet 1 Char"/>
    <w:basedOn w:val="Standardnpsmoodstavce"/>
    <w:link w:val="Bullet1"/>
    <w:uiPriority w:val="99"/>
    <w:rsid w:val="00C42CDB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contextualspellingandgrammarerror">
    <w:name w:val="contextualspellingandgrammarerror"/>
    <w:basedOn w:val="Standardnpsmoodstavce"/>
    <w:rsid w:val="00C42CDB"/>
  </w:style>
  <w:style w:type="character" w:customStyle="1" w:styleId="tabchar">
    <w:name w:val="tabchar"/>
    <w:basedOn w:val="Standardnpsmoodstavce"/>
    <w:rsid w:val="00C42CDB"/>
  </w:style>
  <w:style w:type="character" w:customStyle="1" w:styleId="scxw103030068">
    <w:name w:val="scxw103030068"/>
    <w:basedOn w:val="Standardnpsmoodstavce"/>
    <w:rsid w:val="00C42CDB"/>
  </w:style>
  <w:style w:type="character" w:styleId="Zstupntext">
    <w:name w:val="Placeholder Text"/>
    <w:basedOn w:val="Standardnpsmoodstavce"/>
    <w:uiPriority w:val="99"/>
    <w:semiHidden/>
    <w:rsid w:val="00C42CDB"/>
    <w:rPr>
      <w:color w:val="808080"/>
    </w:rPr>
  </w:style>
  <w:style w:type="paragraph" w:styleId="FormtovanvHTML">
    <w:name w:val="HTML Preformatted"/>
    <w:basedOn w:val="Normln"/>
    <w:link w:val="FormtovanvHTMLChar"/>
    <w:unhideWhenUsed/>
    <w:rsid w:val="00C42C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  <w:spacing w:after="0"/>
      <w:jc w:val="left"/>
    </w:pPr>
    <w:rPr>
      <w:rFonts w:ascii="Courier New" w:eastAsia="Times New Roman" w:hAnsi="Courier New" w:cs="Courier New"/>
      <w:color w:val="auto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rsid w:val="00C42CDB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scxw108177782">
    <w:name w:val="scxw108177782"/>
    <w:basedOn w:val="Standardnpsmoodstavce"/>
    <w:rsid w:val="00C42CDB"/>
  </w:style>
  <w:style w:type="character" w:customStyle="1" w:styleId="scxw124157007">
    <w:name w:val="scxw124157007"/>
    <w:basedOn w:val="Standardnpsmoodstavce"/>
    <w:rsid w:val="00C42CDB"/>
  </w:style>
  <w:style w:type="character" w:customStyle="1" w:styleId="scxw38832071">
    <w:name w:val="scxw38832071"/>
    <w:basedOn w:val="Standardnpsmoodstavce"/>
    <w:rsid w:val="00C42CDB"/>
  </w:style>
  <w:style w:type="character" w:customStyle="1" w:styleId="pagebreaktextspan">
    <w:name w:val="pagebreaktextspan"/>
    <w:basedOn w:val="Standardnpsmoodstavce"/>
    <w:rsid w:val="00C42CDB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C42CDB"/>
    <w:rPr>
      <w:color w:val="605E5C"/>
      <w:shd w:val="clear" w:color="auto" w:fill="E1DFDD"/>
    </w:rPr>
  </w:style>
  <w:style w:type="paragraph" w:customStyle="1" w:styleId="Dalodstavec">
    <w:name w:val="Další odstavec"/>
    <w:basedOn w:val="Normln"/>
    <w:link w:val="DalodstavecChar"/>
    <w:uiPriority w:val="1"/>
    <w:qFormat/>
    <w:rsid w:val="00C42CDB"/>
    <w:pPr>
      <w:spacing w:before="120" w:after="120" w:line="276" w:lineRule="auto"/>
    </w:pPr>
    <w:rPr>
      <w:rFonts w:ascii="Tahoma" w:eastAsia="Calibri" w:hAnsi="Tahoma" w:cs="Times New Roman"/>
      <w:color w:val="auto"/>
    </w:rPr>
  </w:style>
  <w:style w:type="character" w:customStyle="1" w:styleId="DalodstavecChar">
    <w:name w:val="Další odstavec Char"/>
    <w:link w:val="Dalodstavec"/>
    <w:uiPriority w:val="1"/>
    <w:rsid w:val="00C42CDB"/>
    <w:rPr>
      <w:rFonts w:ascii="Tahoma" w:eastAsia="Calibri" w:hAnsi="Tahoma" w:cs="Times New Roman"/>
      <w:sz w:val="20"/>
    </w:rPr>
  </w:style>
  <w:style w:type="character" w:customStyle="1" w:styleId="jlqj4b">
    <w:name w:val="jlqj4b"/>
    <w:basedOn w:val="Standardnpsmoodstavce"/>
    <w:rsid w:val="00C42CDB"/>
  </w:style>
  <w:style w:type="paragraph" w:customStyle="1" w:styleId="FootnotesymbolCarZchn">
    <w:name w:val="Footnote symbol Car Zchn"/>
    <w:aliases w:val="Footnote Car Zchn,Times 10 Point Car Zchn,Exposant 3 Point Car Zchn,Footnote Reference Superscript Car Zchn,Char Char Char Char Char Car Zchn,BVI fnr Car Zchn,SUPERS Car Zchn"/>
    <w:basedOn w:val="Normln"/>
    <w:link w:val="Znakapoznpodarou"/>
    <w:uiPriority w:val="99"/>
    <w:rsid w:val="00C42CDB"/>
    <w:pPr>
      <w:spacing w:line="240" w:lineRule="exact"/>
    </w:pPr>
    <w:rPr>
      <w:color w:val="auto"/>
      <w:vertAlign w:val="superscript"/>
    </w:rPr>
  </w:style>
  <w:style w:type="paragraph" w:customStyle="1" w:styleId="Briefinglist1">
    <w:name w:val="Briefing list 1"/>
    <w:basedOn w:val="Normln"/>
    <w:rsid w:val="00C42CDB"/>
    <w:pPr>
      <w:keepLines/>
      <w:tabs>
        <w:tab w:val="left" w:pos="284"/>
      </w:tabs>
      <w:spacing w:after="120"/>
      <w:ind w:left="284" w:hanging="284"/>
    </w:pPr>
    <w:rPr>
      <w:rFonts w:ascii="Arial" w:eastAsia="Times New Roman" w:hAnsi="Arial" w:cs="Arial"/>
      <w:color w:val="auto"/>
      <w:szCs w:val="24"/>
      <w:lang w:val="en-GB"/>
    </w:rPr>
  </w:style>
  <w:style w:type="paragraph" w:styleId="Prosttext">
    <w:name w:val="Plain Text"/>
    <w:basedOn w:val="Normln"/>
    <w:link w:val="ProsttextChar"/>
    <w:uiPriority w:val="99"/>
    <w:unhideWhenUsed/>
    <w:rsid w:val="00C42CDB"/>
    <w:pPr>
      <w:spacing w:after="0"/>
      <w:jc w:val="left"/>
    </w:pPr>
    <w:rPr>
      <w:rFonts w:ascii="Consolas" w:eastAsia="Times New Roman" w:hAnsi="Consolas" w:cs="Times New Roman"/>
      <w:color w:val="auto"/>
      <w:sz w:val="21"/>
      <w:szCs w:val="21"/>
      <w:lang w:val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42CDB"/>
    <w:rPr>
      <w:rFonts w:ascii="Consolas" w:eastAsia="Times New Roman" w:hAnsi="Consolas" w:cs="Times New Roman"/>
      <w:sz w:val="21"/>
      <w:szCs w:val="21"/>
      <w:lang w:val="en-US"/>
    </w:rPr>
  </w:style>
  <w:style w:type="paragraph" w:styleId="Bezmezer">
    <w:name w:val="No Spacing"/>
    <w:link w:val="BezmezerChar"/>
    <w:uiPriority w:val="1"/>
    <w:qFormat/>
    <w:rsid w:val="00C42CDB"/>
    <w:pPr>
      <w:spacing w:after="0" w:line="240" w:lineRule="auto"/>
    </w:pPr>
  </w:style>
  <w:style w:type="paragraph" w:styleId="Zkladntext3">
    <w:name w:val="Body Text 3"/>
    <w:basedOn w:val="Normln"/>
    <w:link w:val="Zkladntext3Char"/>
    <w:uiPriority w:val="99"/>
    <w:unhideWhenUsed/>
    <w:rsid w:val="00C42CDB"/>
    <w:pPr>
      <w:spacing w:after="120"/>
      <w:jc w:val="left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C42CDB"/>
    <w:rPr>
      <w:color w:val="000000" w:themeColor="text1"/>
      <w:sz w:val="16"/>
      <w:szCs w:val="16"/>
    </w:rPr>
  </w:style>
  <w:style w:type="paragraph" w:customStyle="1" w:styleId="Bntext">
    <w:name w:val="Běžný text"/>
    <w:basedOn w:val="Zkladntextodsazen2"/>
    <w:link w:val="BntextChar"/>
    <w:qFormat/>
    <w:rsid w:val="00C42CDB"/>
    <w:pPr>
      <w:spacing w:before="120" w:line="276" w:lineRule="auto"/>
      <w:ind w:left="0" w:firstLine="578"/>
      <w:jc w:val="both"/>
    </w:pPr>
    <w:rPr>
      <w:rFonts w:ascii="Calibri" w:eastAsia="Times New Roman" w:hAnsi="Calibri" w:cs="Times New Roman"/>
      <w:color w:val="212121"/>
      <w:szCs w:val="24"/>
      <w:lang w:val="en-US" w:eastAsia="cs-CZ"/>
    </w:rPr>
  </w:style>
  <w:style w:type="character" w:customStyle="1" w:styleId="BntextChar">
    <w:name w:val="Běžný text Char"/>
    <w:basedOn w:val="Zkladntextodsazen2Char"/>
    <w:link w:val="Bntext"/>
    <w:rsid w:val="00C42CDB"/>
    <w:rPr>
      <w:rFonts w:ascii="Calibri" w:eastAsia="Times New Roman" w:hAnsi="Calibri" w:cs="Times New Roman"/>
      <w:color w:val="212121"/>
      <w:szCs w:val="24"/>
      <w:lang w:val="en-US"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42CDB"/>
    <w:pPr>
      <w:spacing w:after="120" w:line="480" w:lineRule="auto"/>
      <w:ind w:left="283"/>
      <w:jc w:val="left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42CDB"/>
    <w:rPr>
      <w:color w:val="000000" w:themeColor="text1"/>
    </w:rPr>
  </w:style>
  <w:style w:type="character" w:customStyle="1" w:styleId="superscript">
    <w:name w:val="superscript"/>
    <w:basedOn w:val="Standardnpsmoodstavce"/>
    <w:rsid w:val="00C42CDB"/>
  </w:style>
  <w:style w:type="paragraph" w:customStyle="1" w:styleId="txt">
    <w:name w:val="txt"/>
    <w:basedOn w:val="Normln"/>
    <w:link w:val="txtChar1"/>
    <w:rsid w:val="00C42CDB"/>
    <w:pPr>
      <w:spacing w:after="120"/>
      <w:ind w:firstLine="357"/>
    </w:pPr>
    <w:rPr>
      <w:rFonts w:ascii="Calibri" w:eastAsia="Times New Roman" w:hAnsi="Calibri" w:cs="Times New Roman"/>
      <w:color w:val="auto"/>
      <w:sz w:val="24"/>
      <w:szCs w:val="24"/>
      <w:lang w:val="x-none" w:eastAsia="x-none"/>
    </w:rPr>
  </w:style>
  <w:style w:type="character" w:customStyle="1" w:styleId="txtChar1">
    <w:name w:val="txt Char1"/>
    <w:link w:val="txt"/>
    <w:rsid w:val="00C42CDB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customStyle="1" w:styleId="oj-doc-ti">
    <w:name w:val="oj-doc-ti"/>
    <w:basedOn w:val="Normln"/>
    <w:rsid w:val="00C42CD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C42CDB"/>
  </w:style>
  <w:style w:type="paragraph" w:styleId="Seznamobrzk">
    <w:name w:val="table of figures"/>
    <w:basedOn w:val="Normln"/>
    <w:next w:val="Normln"/>
    <w:uiPriority w:val="99"/>
    <w:unhideWhenUsed/>
    <w:rsid w:val="00C42CDB"/>
    <w:pPr>
      <w:spacing w:after="0"/>
      <w:jc w:val="left"/>
    </w:pPr>
  </w:style>
  <w:style w:type="paragraph" w:customStyle="1" w:styleId="Odrka">
    <w:name w:val="Odrážka"/>
    <w:basedOn w:val="Odstavecseseznamem"/>
    <w:link w:val="OdrkaChar"/>
    <w:qFormat/>
    <w:rsid w:val="00562881"/>
    <w:pPr>
      <w:numPr>
        <w:numId w:val="9"/>
      </w:numPr>
      <w:contextualSpacing w:val="0"/>
    </w:pPr>
    <w:rPr>
      <w:bCs/>
    </w:rPr>
  </w:style>
  <w:style w:type="paragraph" w:customStyle="1" w:styleId="K-nzev">
    <w:name w:val="K - název"/>
    <w:basedOn w:val="K-Nadpis1"/>
    <w:link w:val="K-nzevChar"/>
    <w:qFormat/>
    <w:rsid w:val="00AC1ABD"/>
    <w:rPr>
      <w:rFonts w:asciiTheme="minorHAnsi" w:hAnsiTheme="minorHAnsi" w:cstheme="minorHAnsi"/>
      <w:caps w:val="0"/>
      <w:sz w:val="28"/>
    </w:rPr>
  </w:style>
  <w:style w:type="character" w:customStyle="1" w:styleId="OdrkaChar">
    <w:name w:val="Odrážka Char"/>
    <w:basedOn w:val="OdstavecseseznamemChar"/>
    <w:link w:val="Odrka"/>
    <w:rsid w:val="00562881"/>
    <w:rPr>
      <w:bCs/>
      <w:color w:val="000000" w:themeColor="text1"/>
      <w:sz w:val="20"/>
    </w:rPr>
  </w:style>
  <w:style w:type="paragraph" w:customStyle="1" w:styleId="K-1">
    <w:name w:val="K - 1"/>
    <w:basedOn w:val="K-Nadpis2"/>
    <w:link w:val="K-1Char"/>
    <w:qFormat/>
    <w:rsid w:val="00015CE4"/>
    <w:rPr>
      <w:rFonts w:asciiTheme="minorHAnsi" w:hAnsiTheme="minorHAnsi" w:cstheme="minorHAnsi"/>
      <w:sz w:val="22"/>
    </w:rPr>
  </w:style>
  <w:style w:type="character" w:customStyle="1" w:styleId="K-nzevChar">
    <w:name w:val="K - název Char"/>
    <w:basedOn w:val="K-Nadpis1Char"/>
    <w:link w:val="K-nzev"/>
    <w:rsid w:val="00AC1ABD"/>
    <w:rPr>
      <w:rFonts w:ascii="Times New Roman" w:eastAsiaTheme="majorEastAsia" w:hAnsi="Times New Roman" w:cstheme="minorHAnsi"/>
      <w:b/>
      <w:caps w:val="0"/>
      <w:color w:val="000000" w:themeColor="text1"/>
      <w:sz w:val="28"/>
      <w:szCs w:val="32"/>
    </w:rPr>
  </w:style>
  <w:style w:type="character" w:customStyle="1" w:styleId="K-1Char">
    <w:name w:val="K - 1 Char"/>
    <w:basedOn w:val="K-Nadpis2Char"/>
    <w:link w:val="K-1"/>
    <w:rsid w:val="00015CE4"/>
    <w:rPr>
      <w:rFonts w:asciiTheme="majorHAnsi" w:eastAsiaTheme="majorEastAsia" w:hAnsiTheme="majorHAnsi" w:cstheme="minorHAnsi"/>
      <w:b/>
      <w:color w:val="000000" w:themeColor="text1"/>
      <w:sz w:val="26"/>
      <w:szCs w:val="26"/>
    </w:rPr>
  </w:style>
  <w:style w:type="paragraph" w:customStyle="1" w:styleId="Bullet2">
    <w:name w:val="Bullet 2"/>
    <w:basedOn w:val="Normln"/>
    <w:qFormat/>
    <w:rsid w:val="00D1368A"/>
    <w:pPr>
      <w:numPr>
        <w:numId w:val="236"/>
      </w:numPr>
      <w:spacing w:before="60" w:after="60"/>
      <w:jc w:val="left"/>
    </w:pPr>
    <w:rPr>
      <w:rFonts w:ascii="Henderson BCG Serif" w:eastAsia="Times New Roman" w:hAnsi="Henderson BCG Serif" w:cs="Times New Roman"/>
      <w:color w:val="auto"/>
      <w:sz w:val="22"/>
      <w:szCs w:val="24"/>
      <w:lang w:eastAsia="de-DE"/>
    </w:rPr>
  </w:style>
  <w:style w:type="paragraph" w:customStyle="1" w:styleId="Bullet3">
    <w:name w:val="Bullet 3"/>
    <w:basedOn w:val="Normln"/>
    <w:qFormat/>
    <w:rsid w:val="00D1368A"/>
    <w:pPr>
      <w:numPr>
        <w:numId w:val="237"/>
      </w:numPr>
      <w:spacing w:before="60" w:after="60"/>
      <w:jc w:val="left"/>
    </w:pPr>
    <w:rPr>
      <w:rFonts w:ascii="Henderson BCG Serif" w:eastAsia="Times New Roman" w:hAnsi="Henderson BCG Serif" w:cs="Times New Roman"/>
      <w:color w:val="auto"/>
      <w:sz w:val="22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7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7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9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5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3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3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0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1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4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9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Normal_color%20.dotm" TargetMode="Externa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6AFFD6CE014942BF86BBEEBCBDDF03" ma:contentTypeVersion="4" ma:contentTypeDescription="Vytvoří nový dokument" ma:contentTypeScope="" ma:versionID="3315f90b68d7ff528cae1b4173dfaf0c">
  <xsd:schema xmlns:xsd="http://www.w3.org/2001/XMLSchema" xmlns:xs="http://www.w3.org/2001/XMLSchema" xmlns:p="http://schemas.microsoft.com/office/2006/metadata/properties" xmlns:ns2="295e6b08-c03f-4e1d-b56f-d1230bb11cb2" targetNamespace="http://schemas.microsoft.com/office/2006/metadata/properties" ma:root="true" ma:fieldsID="48231d5730ab131bd6474186d360d693" ns2:_="">
    <xsd:import namespace="295e6b08-c03f-4e1d-b56f-d1230bb11c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e6b08-c03f-4e1d-b56f-d1230bb11c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8F37-9765-4A91-BE16-09FBBF3B7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5e6b08-c03f-4e1d-b56f-d1230bb11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543CF2-4B6F-447B-AF9C-6784D2A70F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536C60-FBBD-4731-8E4F-89A51BB23C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5FE7AC-FE21-4A73-9088-FF6C14220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Normal_color .dotm</Template>
  <TotalTime>0</TotalTime>
  <Pages>18</Pages>
  <Words>7934</Words>
  <Characters>46814</Characters>
  <Application>Microsoft Office Word</Application>
  <DocSecurity>0</DocSecurity>
  <Lines>390</Lines>
  <Paragraphs>109</Paragraphs>
  <ScaleCrop>false</ScaleCrop>
  <Company/>
  <LinksUpToDate>false</LinksUpToDate>
  <CharactersWithSpaces>54639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2021-05-14T07:46:00Z</dcterms:created>
  <dcterms:modified xsi:type="dcterms:W3CDTF">2021-05-14T20:40:00Z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0x010100FD6AFFD6CE014942BF86BBEEBCBDDF03</vt:lpwstr>
  </property>
  <property fmtid="{D5CDD505-2E9C-101B-9397-08002B2CF9AE}" pid="3" name="ClassificationContentMarkingHeaderShapeIds">
    <vt:lpwstr>1,2,3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Veřejně přístupné informace</vt:lpwstr>
  </property>
  <property fmtid="{D5CDD505-2E9C-101B-9397-08002B2CF9AE}" pid="6" name="MSIP_Label_8d94c5f0-83f8-4bf2-af20-ac59dfc3b7e2_Enabled">
    <vt:lpwstr>True</vt:lpwstr>
  </property>
  <property fmtid="{D5CDD505-2E9C-101B-9397-08002B2CF9AE}" pid="7" name="MSIP_Label_8d94c5f0-83f8-4bf2-af20-ac59dfc3b7e2_SiteId">
    <vt:lpwstr>1f9775f0-c6d0-40f3-b27c-91cb5bbd294a</vt:lpwstr>
  </property>
  <property fmtid="{D5CDD505-2E9C-101B-9397-08002B2CF9AE}" pid="8" name="MSIP_Label_8d94c5f0-83f8-4bf2-af20-ac59dfc3b7e2_ActionId">
    <vt:lpwstr>6ffa64f4-9ef8-499b-ad6c-73a91d5ec702</vt:lpwstr>
  </property>
  <property fmtid="{D5CDD505-2E9C-101B-9397-08002B2CF9AE}" pid="9" name="MSIP_Label_8d94c5f0-83f8-4bf2-af20-ac59dfc3b7e2_Method">
    <vt:lpwstr>Privileged</vt:lpwstr>
  </property>
  <property fmtid="{D5CDD505-2E9C-101B-9397-08002B2CF9AE}" pid="10" name="MSIP_Label_8d94c5f0-83f8-4bf2-af20-ac59dfc3b7e2_SetDate">
    <vt:lpwstr>2021-05-14T07:46:31Z</vt:lpwstr>
  </property>
  <property fmtid="{D5CDD505-2E9C-101B-9397-08002B2CF9AE}" pid="11" name="MSIP_Label_8d94c5f0-83f8-4bf2-af20-ac59dfc3b7e2_Name">
    <vt:lpwstr>Veřejné</vt:lpwstr>
  </property>
  <property fmtid="{D5CDD505-2E9C-101B-9397-08002B2CF9AE}" pid="12" name="MSIP_Label_8d94c5f0-83f8-4bf2-af20-ac59dfc3b7e2_ContentBits">
    <vt:lpwstr>1</vt:lpwstr>
  </property>
</Properties>
</file>